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F1" w:rsidRPr="00FA5B7F" w:rsidRDefault="00E9359A" w:rsidP="00FA5B7F">
      <w:pPr>
        <w:rPr>
          <w:b/>
        </w:rPr>
      </w:pPr>
      <w:bookmarkStart w:id="0" w:name="_GoBack"/>
      <w:bookmarkEnd w:id="0"/>
      <w:r w:rsidRPr="00FA5B7F">
        <w:rPr>
          <w:b/>
          <w:sz w:val="28"/>
          <w:szCs w:val="28"/>
        </w:rPr>
        <w:t>Honorarstaffel für Maßnahmen im Rahmen der lokalen Partnerschaft für Demokratie Saalfeld-Rudolstadt</w:t>
      </w:r>
      <w:r w:rsidRPr="00FA5B7F">
        <w:rPr>
          <w:b/>
        </w:rPr>
        <w:t xml:space="preserve"> </w:t>
      </w:r>
      <w:r w:rsidR="00FA5B7F">
        <w:rPr>
          <w:b/>
        </w:rPr>
        <w:br/>
      </w:r>
      <w:r w:rsidRPr="00FA5B7F">
        <w:rPr>
          <w:b/>
        </w:rPr>
        <w:t>(Stand: 18.10.16)</w:t>
      </w:r>
    </w:p>
    <w:p w:rsidR="00E9359A" w:rsidRPr="00E9359A" w:rsidRDefault="00E9359A" w:rsidP="00CF1446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E9359A">
        <w:rPr>
          <w:rFonts w:cs="Tahoma"/>
          <w:sz w:val="24"/>
          <w:szCs w:val="24"/>
        </w:rPr>
        <w:t>Honorarausgaben sind zuwendungsfähig, wenn sie für die Durchführung der Maßnahme</w:t>
      </w:r>
      <w:r w:rsidR="00FA5B7F">
        <w:rPr>
          <w:rFonts w:cs="Tahoma"/>
          <w:sz w:val="24"/>
          <w:szCs w:val="24"/>
        </w:rPr>
        <w:t xml:space="preserve"> erforderlich und </w:t>
      </w:r>
      <w:r w:rsidRPr="00E9359A">
        <w:rPr>
          <w:rFonts w:cs="Tahoma"/>
          <w:sz w:val="24"/>
          <w:szCs w:val="24"/>
        </w:rPr>
        <w:t>die Aufgaben nicht im Rahmen von abhängigen Beschäftigungsverhältnissen durchführbar sind.</w:t>
      </w:r>
    </w:p>
    <w:p w:rsidR="00E9359A" w:rsidRPr="00E9359A" w:rsidRDefault="00E9359A" w:rsidP="00CF1446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E9359A">
        <w:rPr>
          <w:rFonts w:cs="Tahoma"/>
          <w:sz w:val="24"/>
          <w:szCs w:val="24"/>
        </w:rPr>
        <w:t>Honorare an Vorstandmitglieder oder Geschäftsführer/innen sowie hauptamtliche M</w:t>
      </w:r>
      <w:r w:rsidR="00FA5B7F">
        <w:rPr>
          <w:rFonts w:cs="Tahoma"/>
          <w:sz w:val="24"/>
          <w:szCs w:val="24"/>
        </w:rPr>
        <w:t>itarbeiter</w:t>
      </w:r>
      <w:r w:rsidR="00553E97">
        <w:rPr>
          <w:rFonts w:cs="Tahoma"/>
          <w:sz w:val="24"/>
          <w:szCs w:val="24"/>
        </w:rPr>
        <w:t>*</w:t>
      </w:r>
      <w:r w:rsidR="00FA5B7F">
        <w:rPr>
          <w:rFonts w:cs="Tahoma"/>
          <w:sz w:val="24"/>
          <w:szCs w:val="24"/>
        </w:rPr>
        <w:t xml:space="preserve">innen </w:t>
      </w:r>
      <w:r w:rsidRPr="00E9359A">
        <w:rPr>
          <w:rFonts w:cs="Tahoma"/>
          <w:sz w:val="24"/>
          <w:szCs w:val="24"/>
        </w:rPr>
        <w:t>des Antragstellers sind ausgeschlossen.</w:t>
      </w:r>
      <w:r w:rsidR="00553E97">
        <w:rPr>
          <w:rFonts w:cs="Tahoma"/>
          <w:sz w:val="24"/>
          <w:szCs w:val="24"/>
        </w:rPr>
        <w:t xml:space="preserve"> In begründeten Fällen kann eine Ausnahmeregelung geprüft werden.</w:t>
      </w:r>
    </w:p>
    <w:p w:rsidR="00E9359A" w:rsidRPr="00E9359A" w:rsidRDefault="00E9359A" w:rsidP="00CF1446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E9359A">
        <w:rPr>
          <w:rFonts w:cs="Tahoma"/>
          <w:sz w:val="24"/>
          <w:szCs w:val="24"/>
        </w:rPr>
        <w:t>Die Höhe der Vergütung für Honorarverträge bemisst sich nach Art, Umfang, D</w:t>
      </w:r>
      <w:r w:rsidR="00FA5B7F">
        <w:rPr>
          <w:rFonts w:cs="Tahoma"/>
          <w:sz w:val="24"/>
          <w:szCs w:val="24"/>
        </w:rPr>
        <w:t xml:space="preserve">auer und Schwierigkeitsgrad der </w:t>
      </w:r>
      <w:r w:rsidRPr="00E9359A">
        <w:rPr>
          <w:rFonts w:cs="Tahoma"/>
          <w:sz w:val="24"/>
          <w:szCs w:val="24"/>
        </w:rPr>
        <w:t>zu erbringenden Leistung. Die Einordnung muss angemessen sein und die Besonde</w:t>
      </w:r>
      <w:r w:rsidR="00B03616">
        <w:rPr>
          <w:rFonts w:cs="Tahoma"/>
          <w:sz w:val="24"/>
          <w:szCs w:val="24"/>
        </w:rPr>
        <w:t xml:space="preserve">rheiten des Einzelfalls sind zu </w:t>
      </w:r>
      <w:r w:rsidRPr="00E9359A">
        <w:rPr>
          <w:rFonts w:cs="Tahoma"/>
          <w:sz w:val="24"/>
          <w:szCs w:val="24"/>
        </w:rPr>
        <w:t>berücksichtigen.</w:t>
      </w:r>
    </w:p>
    <w:p w:rsidR="00553E97" w:rsidRDefault="00553E97" w:rsidP="00CF1446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sz w:val="24"/>
          <w:szCs w:val="24"/>
        </w:rPr>
      </w:pPr>
    </w:p>
    <w:p w:rsidR="00E9359A" w:rsidRPr="00E9359A" w:rsidRDefault="00E9359A" w:rsidP="00CF1446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sz w:val="24"/>
          <w:szCs w:val="24"/>
        </w:rPr>
      </w:pPr>
      <w:r w:rsidRPr="00CF1446">
        <w:rPr>
          <w:rFonts w:cs="Tahoma"/>
          <w:bCs/>
          <w:sz w:val="24"/>
          <w:szCs w:val="24"/>
        </w:rPr>
        <w:t>In Abhängigkeit der zu vergebenden Leistung</w:t>
      </w:r>
      <w:r w:rsidR="00FA5B7F" w:rsidRPr="00CF1446">
        <w:rPr>
          <w:rFonts w:cs="Tahoma"/>
          <w:bCs/>
          <w:sz w:val="24"/>
          <w:szCs w:val="24"/>
        </w:rPr>
        <w:t>, gelten grundsätzlich folgende Honorarstufen, unter</w:t>
      </w:r>
      <w:r w:rsidR="00FA5B7F">
        <w:rPr>
          <w:rFonts w:cs="Tahoma"/>
          <w:b/>
          <w:bCs/>
          <w:sz w:val="24"/>
          <w:szCs w:val="24"/>
        </w:rPr>
        <w:t xml:space="preserve"> </w:t>
      </w:r>
      <w:r w:rsidRPr="00E9359A">
        <w:rPr>
          <w:rFonts w:cs="Tahoma"/>
          <w:b/>
          <w:bCs/>
          <w:sz w:val="24"/>
          <w:szCs w:val="24"/>
        </w:rPr>
        <w:t xml:space="preserve">Berücksichtigung einer wirtschaftlichen und sparsamen Mittelverwendung, </w:t>
      </w:r>
      <w:r w:rsidRPr="00CF1446">
        <w:rPr>
          <w:rFonts w:cs="Tahoma"/>
          <w:bCs/>
          <w:sz w:val="24"/>
          <w:szCs w:val="24"/>
        </w:rPr>
        <w:t xml:space="preserve">als jeweilige </w:t>
      </w:r>
      <w:r w:rsidRPr="00CF1446">
        <w:rPr>
          <w:rFonts w:cs="Tahoma"/>
          <w:b/>
          <w:bCs/>
          <w:sz w:val="24"/>
          <w:szCs w:val="24"/>
        </w:rPr>
        <w:t>Obergrenze</w:t>
      </w:r>
      <w:r w:rsidRPr="00CF1446">
        <w:rPr>
          <w:rFonts w:cs="Tahoma"/>
          <w:bCs/>
          <w:sz w:val="24"/>
          <w:szCs w:val="24"/>
        </w:rPr>
        <w:t>:</w:t>
      </w:r>
    </w:p>
    <w:p w:rsidR="00192679" w:rsidRDefault="00192679" w:rsidP="00FA5B7F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A166C0" w:rsidTr="00A166C0">
        <w:tc>
          <w:tcPr>
            <w:tcW w:w="4606" w:type="dxa"/>
          </w:tcPr>
          <w:p w:rsidR="00A166C0" w:rsidRPr="00CF1446" w:rsidRDefault="00CF1446" w:rsidP="00CF1446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 w:val="28"/>
                <w:szCs w:val="28"/>
              </w:rPr>
            </w:pPr>
            <w:r w:rsidRPr="00CF1446">
              <w:rPr>
                <w:rFonts w:cs="Tahoma"/>
                <w:b/>
                <w:sz w:val="28"/>
                <w:szCs w:val="28"/>
              </w:rPr>
              <w:t>Honorarkraft</w:t>
            </w:r>
          </w:p>
        </w:tc>
        <w:tc>
          <w:tcPr>
            <w:tcW w:w="4606" w:type="dxa"/>
          </w:tcPr>
          <w:p w:rsidR="00A166C0" w:rsidRPr="00CF1446" w:rsidRDefault="00A166C0" w:rsidP="00CF1446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 w:val="28"/>
                <w:szCs w:val="28"/>
              </w:rPr>
            </w:pPr>
            <w:r w:rsidRPr="00CF1446">
              <w:rPr>
                <w:rFonts w:cs="Tahoma"/>
                <w:b/>
                <w:sz w:val="28"/>
                <w:szCs w:val="28"/>
              </w:rPr>
              <w:t>Stundensatz</w:t>
            </w:r>
          </w:p>
        </w:tc>
      </w:tr>
      <w:tr w:rsidR="00A166C0" w:rsidTr="00CF1446">
        <w:tc>
          <w:tcPr>
            <w:tcW w:w="4606" w:type="dxa"/>
          </w:tcPr>
          <w:p w:rsidR="00A166C0" w:rsidRDefault="00A166C0" w:rsidP="00CF1446">
            <w:pP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Schüler*innen und Auszubildende die eine Betreuungs- oder Versorgungsfunktion übernehmen </w:t>
            </w:r>
            <w:r w:rsidRPr="00CF1446">
              <w:rPr>
                <w:rFonts w:cs="Tahoma"/>
                <w:b/>
                <w:bCs/>
              </w:rPr>
              <w:t>(</w:t>
            </w:r>
            <w:r w:rsidR="00CF1446">
              <w:rPr>
                <w:rFonts w:cs="Tahoma"/>
                <w:b/>
                <w:bCs/>
              </w:rPr>
              <w:t>unter</w:t>
            </w:r>
            <w:r w:rsidRPr="00CF1446">
              <w:rPr>
                <w:rFonts w:cs="Tahoma"/>
                <w:b/>
                <w:bCs/>
              </w:rPr>
              <w:t xml:space="preserve"> 18 Jahre</w:t>
            </w:r>
            <w:r w:rsidR="00CF1446">
              <w:rPr>
                <w:rFonts w:cs="Tahoma"/>
                <w:b/>
                <w:bCs/>
              </w:rPr>
              <w:t>n</w:t>
            </w:r>
            <w:r w:rsidRPr="00CF1446">
              <w:rPr>
                <w:rFonts w:cs="Tahoma"/>
                <w:b/>
                <w:bCs/>
              </w:rPr>
              <w:t>)</w:t>
            </w:r>
          </w:p>
        </w:tc>
        <w:tc>
          <w:tcPr>
            <w:tcW w:w="4606" w:type="dxa"/>
            <w:vAlign w:val="center"/>
          </w:tcPr>
          <w:p w:rsidR="00A166C0" w:rsidRDefault="00A166C0" w:rsidP="00CF1446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4"/>
                <w:szCs w:val="24"/>
              </w:rPr>
            </w:pPr>
            <w:r w:rsidRPr="00192679">
              <w:rPr>
                <w:rFonts w:cs="Tahoma"/>
                <w:b/>
                <w:bCs/>
                <w:i/>
                <w:sz w:val="24"/>
                <w:szCs w:val="24"/>
              </w:rPr>
              <w:t>8,00 bis 10,00 Euro</w:t>
            </w:r>
          </w:p>
        </w:tc>
      </w:tr>
      <w:tr w:rsidR="00A166C0" w:rsidTr="00CF1446">
        <w:tc>
          <w:tcPr>
            <w:tcW w:w="4606" w:type="dxa"/>
          </w:tcPr>
          <w:p w:rsidR="00A166C0" w:rsidRDefault="00A166C0" w:rsidP="00FA5B7F">
            <w:pP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Studierende und Auszubildende mit einem pädagogischen Auftrag</w:t>
            </w:r>
          </w:p>
        </w:tc>
        <w:tc>
          <w:tcPr>
            <w:tcW w:w="4606" w:type="dxa"/>
            <w:vAlign w:val="center"/>
          </w:tcPr>
          <w:p w:rsidR="00A166C0" w:rsidRDefault="00A166C0" w:rsidP="00CF1446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4"/>
                <w:szCs w:val="24"/>
              </w:rPr>
            </w:pPr>
            <w:r w:rsidRPr="00192679">
              <w:rPr>
                <w:rFonts w:cs="Tahoma"/>
                <w:b/>
                <w:bCs/>
                <w:i/>
                <w:sz w:val="24"/>
                <w:szCs w:val="24"/>
              </w:rPr>
              <w:t>15,00 bis 20,00 Euro</w:t>
            </w:r>
          </w:p>
        </w:tc>
      </w:tr>
      <w:tr w:rsidR="00A166C0" w:rsidTr="00CF1446">
        <w:tc>
          <w:tcPr>
            <w:tcW w:w="4606" w:type="dxa"/>
          </w:tcPr>
          <w:p w:rsidR="00A166C0" w:rsidRDefault="00A166C0" w:rsidP="00FA5B7F">
            <w:pP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Fachkräfte mit koordinierenden, organisatorischen Aufgaben</w:t>
            </w:r>
          </w:p>
        </w:tc>
        <w:tc>
          <w:tcPr>
            <w:tcW w:w="4606" w:type="dxa"/>
            <w:vAlign w:val="center"/>
          </w:tcPr>
          <w:p w:rsidR="00A166C0" w:rsidRPr="00192679" w:rsidRDefault="00A166C0" w:rsidP="00CF1446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i/>
                <w:sz w:val="24"/>
                <w:szCs w:val="24"/>
              </w:rPr>
            </w:pPr>
            <w:r w:rsidRPr="00192679">
              <w:rPr>
                <w:rFonts w:cs="Tahoma"/>
                <w:b/>
                <w:bCs/>
                <w:i/>
                <w:sz w:val="24"/>
                <w:szCs w:val="24"/>
              </w:rPr>
              <w:t>20,00 bis 40,00 Euro</w:t>
            </w:r>
          </w:p>
        </w:tc>
      </w:tr>
      <w:tr w:rsidR="00A166C0" w:rsidTr="00CF1446">
        <w:tc>
          <w:tcPr>
            <w:tcW w:w="4606" w:type="dxa"/>
          </w:tcPr>
          <w:p w:rsidR="00A166C0" w:rsidRDefault="00A166C0" w:rsidP="00FA5B7F">
            <w:pPr>
              <w:autoSpaceDE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  <w:r w:rsidRPr="00A166C0">
              <w:rPr>
                <w:rFonts w:cs="Tahoma"/>
                <w:b/>
                <w:sz w:val="24"/>
                <w:szCs w:val="24"/>
              </w:rPr>
              <w:t>Trainer*innen in den Bereichen politische Bildung, Kunst- und Kultur, Prozess</w:t>
            </w:r>
            <w:r w:rsidR="00CF1446">
              <w:rPr>
                <w:rFonts w:cs="Tahoma"/>
                <w:b/>
                <w:sz w:val="24"/>
                <w:szCs w:val="24"/>
              </w:rPr>
              <w:t>-</w:t>
            </w:r>
            <w:r w:rsidRPr="00A166C0">
              <w:rPr>
                <w:rFonts w:cs="Tahoma"/>
                <w:b/>
                <w:sz w:val="24"/>
                <w:szCs w:val="24"/>
              </w:rPr>
              <w:t>moderation, Partizipation</w:t>
            </w:r>
            <w:r>
              <w:rPr>
                <w:rFonts w:cs="Tahoma"/>
                <w:b/>
                <w:sz w:val="24"/>
                <w:szCs w:val="24"/>
              </w:rPr>
              <w:t>, etc.</w:t>
            </w:r>
          </w:p>
        </w:tc>
        <w:tc>
          <w:tcPr>
            <w:tcW w:w="4606" w:type="dxa"/>
            <w:vAlign w:val="center"/>
          </w:tcPr>
          <w:p w:rsidR="00A166C0" w:rsidRDefault="00A166C0" w:rsidP="00CF1446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i/>
                <w:sz w:val="24"/>
                <w:szCs w:val="24"/>
              </w:rPr>
            </w:pPr>
            <w:r w:rsidRPr="00A166C0">
              <w:rPr>
                <w:rFonts w:cs="Tahoma"/>
                <w:b/>
                <w:i/>
                <w:sz w:val="24"/>
                <w:szCs w:val="24"/>
              </w:rPr>
              <w:t>40,00 bis 60,00 Euro</w:t>
            </w:r>
          </w:p>
          <w:p w:rsidR="00A166C0" w:rsidRDefault="00A166C0" w:rsidP="00CF1446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4"/>
                <w:szCs w:val="24"/>
              </w:rPr>
            </w:pPr>
            <w:r w:rsidRPr="00CF1446">
              <w:rPr>
                <w:rFonts w:cs="Tahoma"/>
                <w:b/>
                <w:i/>
              </w:rPr>
              <w:t>(im Rahmen von Workshops)</w:t>
            </w:r>
          </w:p>
        </w:tc>
      </w:tr>
      <w:tr w:rsidR="00A166C0" w:rsidTr="00CF1446">
        <w:tc>
          <w:tcPr>
            <w:tcW w:w="4606" w:type="dxa"/>
          </w:tcPr>
          <w:p w:rsidR="00A166C0" w:rsidRPr="00CF1446" w:rsidRDefault="00CF1446" w:rsidP="00FA5B7F">
            <w:pPr>
              <w:autoSpaceDE w:val="0"/>
              <w:autoSpaceDN w:val="0"/>
              <w:adjustRightInd w:val="0"/>
              <w:rPr>
                <w:rFonts w:cs="Tahoma"/>
                <w:b/>
                <w:sz w:val="24"/>
                <w:szCs w:val="24"/>
              </w:rPr>
            </w:pPr>
            <w:r w:rsidRPr="00CF1446">
              <w:rPr>
                <w:rFonts w:cs="Tahoma"/>
                <w:b/>
                <w:sz w:val="24"/>
                <w:szCs w:val="24"/>
              </w:rPr>
              <w:t>Fach-Vortrag; Präsentation; Lesung, etc.</w:t>
            </w:r>
          </w:p>
        </w:tc>
        <w:tc>
          <w:tcPr>
            <w:tcW w:w="4606" w:type="dxa"/>
            <w:vAlign w:val="center"/>
          </w:tcPr>
          <w:p w:rsidR="00A166C0" w:rsidRPr="00CF1446" w:rsidRDefault="00CF1446" w:rsidP="00CF1446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i/>
                <w:sz w:val="24"/>
                <w:szCs w:val="24"/>
              </w:rPr>
            </w:pPr>
            <w:r w:rsidRPr="00CF1446">
              <w:rPr>
                <w:rFonts w:cs="Tahoma"/>
                <w:b/>
                <w:i/>
                <w:sz w:val="24"/>
                <w:szCs w:val="24"/>
              </w:rPr>
              <w:t>Individuell (Was ist es Ihnen wert?)</w:t>
            </w:r>
          </w:p>
        </w:tc>
      </w:tr>
    </w:tbl>
    <w:p w:rsidR="00CF1446" w:rsidRPr="009623EB" w:rsidRDefault="00553E97" w:rsidP="00553E97">
      <w:pPr>
        <w:tabs>
          <w:tab w:val="left" w:pos="516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9623EB">
        <w:rPr>
          <w:rFonts w:cs="Tahoma"/>
        </w:rPr>
        <w:t>Insofern die/der Honorarempfänger*in umsatzsteuerpflichtig ist, ist in den oben genannten Beträgen die Umsatzsteuer bereits enthalten.</w:t>
      </w:r>
    </w:p>
    <w:p w:rsidR="00B03616" w:rsidRDefault="00B03616" w:rsidP="00FA5B7F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B03616" w:rsidRDefault="00B03616" w:rsidP="00FA5B7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Die Honorarverträge sollten mindestens folgende Bestandteile enthalten:</w:t>
      </w:r>
    </w:p>
    <w:p w:rsidR="00B03616" w:rsidRDefault="00B03616" w:rsidP="00B0361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B03616">
        <w:rPr>
          <w:rFonts w:cs="Tahoma"/>
          <w:sz w:val="24"/>
          <w:szCs w:val="24"/>
        </w:rPr>
        <w:t>◊  Namen der Vertragspartner</w:t>
      </w:r>
    </w:p>
    <w:p w:rsidR="00B03616" w:rsidRDefault="00B03616" w:rsidP="00B0361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B03616">
        <w:rPr>
          <w:rFonts w:cs="Tahoma"/>
          <w:sz w:val="24"/>
          <w:szCs w:val="24"/>
        </w:rPr>
        <w:t>◊  Vertragsgegenstand / Grund der Beschäftigung</w:t>
      </w:r>
    </w:p>
    <w:p w:rsidR="00B03616" w:rsidRDefault="00B03616" w:rsidP="00B0361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B03616">
        <w:rPr>
          <w:rFonts w:cs="Tahoma"/>
          <w:sz w:val="24"/>
          <w:szCs w:val="24"/>
        </w:rPr>
        <w:t>◊  Anzahl der zu leistenden Stunden bzw. Tage,</w:t>
      </w:r>
    </w:p>
    <w:p w:rsidR="00B03616" w:rsidRDefault="00B03616" w:rsidP="00B0361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B03616">
        <w:rPr>
          <w:rFonts w:cs="Tahoma"/>
          <w:sz w:val="24"/>
          <w:szCs w:val="24"/>
        </w:rPr>
        <w:t>◊ Stundensatz und Stundenumfang</w:t>
      </w:r>
    </w:p>
    <w:p w:rsidR="00B03616" w:rsidRDefault="00B03616" w:rsidP="00B0361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B03616">
        <w:rPr>
          <w:rFonts w:cs="Tahoma"/>
          <w:sz w:val="24"/>
          <w:szCs w:val="24"/>
        </w:rPr>
        <w:t>◊ rechtsverbindliche Unterschrift</w:t>
      </w:r>
    </w:p>
    <w:p w:rsidR="00B03616" w:rsidRDefault="00B03616" w:rsidP="00FA5B7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:rsidR="00B03616" w:rsidRPr="00B03616" w:rsidRDefault="00B03616" w:rsidP="00FA5B7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Unterlagen für die </w:t>
      </w:r>
      <w:r w:rsidRPr="00B03616">
        <w:rPr>
          <w:rFonts w:cs="Tahoma"/>
          <w:b/>
          <w:sz w:val="24"/>
          <w:szCs w:val="24"/>
        </w:rPr>
        <w:t>Abrechnung:</w:t>
      </w:r>
    </w:p>
    <w:p w:rsidR="00B03616" w:rsidRDefault="00B03616" w:rsidP="00FA5B7F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B03616">
        <w:rPr>
          <w:rFonts w:cs="Tahoma"/>
          <w:sz w:val="24"/>
          <w:szCs w:val="24"/>
        </w:rPr>
        <w:t>Zur Prüfung der Honorarausgaben sind die folgenden Unterlagen erforderlich:</w:t>
      </w:r>
    </w:p>
    <w:p w:rsidR="00B03616" w:rsidRDefault="00B03616" w:rsidP="00FA5B7F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B03616">
        <w:rPr>
          <w:rFonts w:cs="Tahoma"/>
          <w:sz w:val="24"/>
          <w:szCs w:val="24"/>
        </w:rPr>
        <w:t>◊ Honorarvertrag</w:t>
      </w:r>
    </w:p>
    <w:p w:rsidR="00B03616" w:rsidRDefault="00B03616" w:rsidP="00FA5B7F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B03616">
        <w:rPr>
          <w:rFonts w:cs="Tahoma"/>
          <w:sz w:val="24"/>
          <w:szCs w:val="24"/>
        </w:rPr>
        <w:t>◊ Rechnung über die erbrachte Honorarleistung de</w:t>
      </w:r>
      <w:r>
        <w:rPr>
          <w:rFonts w:cs="Tahoma"/>
          <w:sz w:val="24"/>
          <w:szCs w:val="24"/>
        </w:rPr>
        <w:t>r/</w:t>
      </w:r>
      <w:r w:rsidRPr="00B03616">
        <w:rPr>
          <w:rFonts w:cs="Tahoma"/>
          <w:sz w:val="24"/>
          <w:szCs w:val="24"/>
        </w:rPr>
        <w:t>s Auftragnehmer</w:t>
      </w:r>
      <w:r>
        <w:rPr>
          <w:rFonts w:cs="Tahoma"/>
          <w:sz w:val="24"/>
          <w:szCs w:val="24"/>
        </w:rPr>
        <w:t>*in</w:t>
      </w:r>
    </w:p>
    <w:p w:rsidR="00B03616" w:rsidRDefault="00B03616" w:rsidP="00FA5B7F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B03616">
        <w:rPr>
          <w:rFonts w:cs="Tahoma"/>
          <w:sz w:val="24"/>
          <w:szCs w:val="24"/>
        </w:rPr>
        <w:t>◊ Nachweis</w:t>
      </w:r>
      <w:r>
        <w:rPr>
          <w:rFonts w:cs="Tahoma"/>
          <w:sz w:val="24"/>
          <w:szCs w:val="24"/>
        </w:rPr>
        <w:t>, dass die/der Honorarempfänger*</w:t>
      </w:r>
      <w:r w:rsidRPr="00B03616">
        <w:rPr>
          <w:rFonts w:cs="Tahoma"/>
          <w:sz w:val="24"/>
          <w:szCs w:val="24"/>
        </w:rPr>
        <w:t xml:space="preserve">in für die gestellten Anforderungen qualifiziert </w:t>
      </w:r>
      <w:r w:rsidR="00820B84">
        <w:rPr>
          <w:rFonts w:cs="Tahoma"/>
          <w:sz w:val="24"/>
          <w:szCs w:val="24"/>
        </w:rPr>
        <w:br/>
        <w:t xml:space="preserve">   </w:t>
      </w:r>
      <w:r w:rsidRPr="00B03616">
        <w:rPr>
          <w:rFonts w:cs="Tahoma"/>
          <w:sz w:val="24"/>
          <w:szCs w:val="24"/>
        </w:rPr>
        <w:t>ist</w:t>
      </w:r>
    </w:p>
    <w:p w:rsidR="00B03616" w:rsidRDefault="00B03616" w:rsidP="00FA5B7F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B03616">
        <w:rPr>
          <w:rFonts w:cs="Tahoma"/>
          <w:sz w:val="24"/>
          <w:szCs w:val="24"/>
        </w:rPr>
        <w:t>◊ Kopie des Kontoauszuges zum Nachweis der Überweisung des Honorars</w:t>
      </w:r>
    </w:p>
    <w:sectPr w:rsidR="00B036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9A"/>
    <w:rsid w:val="000266F2"/>
    <w:rsid w:val="00192679"/>
    <w:rsid w:val="002D23F1"/>
    <w:rsid w:val="00553E97"/>
    <w:rsid w:val="00570C2D"/>
    <w:rsid w:val="00820B84"/>
    <w:rsid w:val="009623EB"/>
    <w:rsid w:val="00A166C0"/>
    <w:rsid w:val="00B03616"/>
    <w:rsid w:val="00CF1446"/>
    <w:rsid w:val="00E9359A"/>
    <w:rsid w:val="00F01961"/>
    <w:rsid w:val="00FA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09B8A-D518-4B6F-B5C8-2BC89C8F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63112-6E36-4E90-8974-49275F80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Heuchel, Sebastian</dc:creator>
  <cp:lastModifiedBy>Schönheit, Marco</cp:lastModifiedBy>
  <cp:revision>2</cp:revision>
  <dcterms:created xsi:type="dcterms:W3CDTF">2020-05-19T07:25:00Z</dcterms:created>
  <dcterms:modified xsi:type="dcterms:W3CDTF">2020-05-19T07:25:00Z</dcterms:modified>
</cp:coreProperties>
</file>