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78" w:rsidRDefault="00B90278" w:rsidP="00EA1C48">
      <w:pPr>
        <w:jc w:val="center"/>
        <w:rPr>
          <w:b/>
          <w:sz w:val="28"/>
          <w:szCs w:val="28"/>
        </w:rPr>
      </w:pPr>
      <w:bookmarkStart w:id="0" w:name="_GoBack"/>
      <w:bookmarkEnd w:id="0"/>
      <w:r>
        <w:rPr>
          <w:b/>
          <w:sz w:val="28"/>
          <w:szCs w:val="28"/>
        </w:rPr>
        <w:t>Hinweise zum Artenschutz</w:t>
      </w:r>
    </w:p>
    <w:p w:rsidR="00EA1C48" w:rsidRDefault="00EA1C48" w:rsidP="00EA1C48">
      <w:pPr>
        <w:jc w:val="center"/>
        <w:rPr>
          <w:b/>
          <w:sz w:val="28"/>
          <w:szCs w:val="28"/>
        </w:rPr>
      </w:pPr>
    </w:p>
    <w:p w:rsidR="00B90278" w:rsidRDefault="005329A4" w:rsidP="00EA1C48">
      <w:pPr>
        <w:jc w:val="center"/>
      </w:pPr>
      <w:r>
        <w:rPr>
          <w:b/>
          <w:i/>
          <w:sz w:val="28"/>
          <w:szCs w:val="28"/>
          <w:u w:val="single"/>
        </w:rPr>
        <w:t>Errichtung, wesentliche Änderung und Betrieb von Tiergehegen</w:t>
      </w:r>
    </w:p>
    <w:p w:rsidR="00B90278" w:rsidRDefault="00B90278" w:rsidP="00B90278">
      <w:pPr>
        <w:jc w:val="both"/>
      </w:pPr>
    </w:p>
    <w:p w:rsidR="005329A4" w:rsidRPr="005329A4" w:rsidRDefault="005329A4" w:rsidP="00DC1ACB">
      <w:pPr>
        <w:jc w:val="both"/>
      </w:pPr>
      <w:r w:rsidRPr="005329A4">
        <w:t xml:space="preserve">Die Errichtung, wesentliche Änderung und der Betrieb von Tiergehegen und Zoos bedürfen der Genehmigung der unteren Naturschutzbehörde. </w:t>
      </w:r>
    </w:p>
    <w:p w:rsidR="005329A4" w:rsidRPr="005329A4" w:rsidRDefault="005329A4" w:rsidP="00DC1ACB">
      <w:pPr>
        <w:jc w:val="both"/>
      </w:pPr>
      <w:r w:rsidRPr="005329A4">
        <w:t>Bisher richtete sich die Genehmigung für Tiergehege au</w:t>
      </w:r>
      <w:r w:rsidRPr="005329A4">
        <w:t>s</w:t>
      </w:r>
      <w:r w:rsidRPr="005329A4">
        <w:t>schließlich nach Landesrecht, d. h. nach dem Thüringer Gesetz für Natur und Landschaft. Das hat sich mit Inkrafttreten des ne</w:t>
      </w:r>
      <w:r w:rsidRPr="005329A4">
        <w:t>u</w:t>
      </w:r>
      <w:r w:rsidRPr="005329A4">
        <w:t>en Bundesnaturschutzgesetzes am 01. März 2010 g</w:t>
      </w:r>
      <w:r w:rsidRPr="005329A4">
        <w:t>e</w:t>
      </w:r>
      <w:r w:rsidRPr="005329A4">
        <w:t xml:space="preserve">ändert. </w:t>
      </w:r>
    </w:p>
    <w:p w:rsidR="005329A4" w:rsidRDefault="005329A4" w:rsidP="005329A4">
      <w:pPr>
        <w:pStyle w:val="StandardWeb"/>
        <w:spacing w:before="0" w:beforeAutospacing="0" w:after="0" w:afterAutospacing="0"/>
      </w:pPr>
    </w:p>
    <w:p w:rsidR="0057299A" w:rsidRPr="009B75BF" w:rsidRDefault="005329A4" w:rsidP="00DC1ACB">
      <w:pPr>
        <w:jc w:val="both"/>
      </w:pPr>
      <w:r>
        <w:t xml:space="preserve">Maßgeblich für die </w:t>
      </w:r>
      <w:r w:rsidRPr="00FB570A">
        <w:t>Def</w:t>
      </w:r>
      <w:r>
        <w:t>inition „</w:t>
      </w:r>
      <w:r w:rsidRPr="00FB570A">
        <w:t xml:space="preserve">Tiergehege" </w:t>
      </w:r>
      <w:r>
        <w:t>ist nu</w:t>
      </w:r>
      <w:r>
        <w:t>n</w:t>
      </w:r>
      <w:r>
        <w:t xml:space="preserve">mehr </w:t>
      </w:r>
      <w:r w:rsidRPr="00FB570A">
        <w:t>§ 43 Abs. 1 BNatSchG.</w:t>
      </w:r>
      <w:r>
        <w:t xml:space="preserve"> Danach sind Tiergehege </w:t>
      </w:r>
      <w:r w:rsidRPr="00FB570A">
        <w:rPr>
          <w:b/>
        </w:rPr>
        <w:t>dauerhafte</w:t>
      </w:r>
      <w:r w:rsidR="00D61EB8">
        <w:rPr>
          <w:b/>
        </w:rPr>
        <w:t xml:space="preserve"> (nicht mobile)</w:t>
      </w:r>
      <w:r w:rsidRPr="00FB570A">
        <w:rPr>
          <w:b/>
        </w:rPr>
        <w:t xml:space="preserve"> Einrichtungen</w:t>
      </w:r>
      <w:r>
        <w:t xml:space="preserve">, in denen </w:t>
      </w:r>
      <w:r w:rsidRPr="00FB570A">
        <w:rPr>
          <w:b/>
        </w:rPr>
        <w:t>Tiere wild lebender Arten a</w:t>
      </w:r>
      <w:r w:rsidRPr="00FB570A">
        <w:rPr>
          <w:b/>
        </w:rPr>
        <w:t>u</w:t>
      </w:r>
      <w:r w:rsidRPr="00FB570A">
        <w:rPr>
          <w:b/>
        </w:rPr>
        <w:t>ßerhalb von Wohn- und Geschäft</w:t>
      </w:r>
      <w:r w:rsidRPr="00FB570A">
        <w:rPr>
          <w:b/>
        </w:rPr>
        <w:t>s</w:t>
      </w:r>
      <w:r w:rsidRPr="00FB570A">
        <w:rPr>
          <w:b/>
        </w:rPr>
        <w:t>gebäuden</w:t>
      </w:r>
      <w:r>
        <w:t xml:space="preserve"> während </w:t>
      </w:r>
      <w:r w:rsidRPr="009B75BF">
        <w:t xml:space="preserve">eines Zeitraums von </w:t>
      </w:r>
      <w:r w:rsidRPr="009B75BF">
        <w:rPr>
          <w:b/>
        </w:rPr>
        <w:t>mindestens sieben Tagen im Jahr</w:t>
      </w:r>
      <w:r w:rsidRPr="009B75BF">
        <w:t xml:space="preserve"> gehalten werden und die </w:t>
      </w:r>
      <w:r w:rsidRPr="009B75BF">
        <w:rPr>
          <w:b/>
        </w:rPr>
        <w:t>kein Zoo</w:t>
      </w:r>
      <w:r w:rsidRPr="009B75BF">
        <w:t xml:space="preserve"> im Sinne des § 42 Abs. 1 BNatSchG sind. </w:t>
      </w:r>
      <w:r w:rsidR="0057299A" w:rsidRPr="009B75BF">
        <w:t>Dauerhaf</w:t>
      </w:r>
      <w:r w:rsidR="00EC64C2" w:rsidRPr="009B75BF">
        <w:t>t sind beispielsweise gemauerte oder sonstige</w:t>
      </w:r>
      <w:r w:rsidR="0057299A" w:rsidRPr="009B75BF">
        <w:t xml:space="preserve"> fest umzäunte Anlagen, nicht dauerhaft wäre ein in den Garten verbrachter Vogelkäfig. Außerhalb von Wohn- und Geschäftsgebäuden befinden sich auch</w:t>
      </w:r>
      <w:r w:rsidR="00B01F9C" w:rsidRPr="009B75BF">
        <w:t xml:space="preserve"> beispielsweise</w:t>
      </w:r>
      <w:r w:rsidR="0057299A" w:rsidRPr="009B75BF">
        <w:t xml:space="preserve"> </w:t>
      </w:r>
      <w:r w:rsidR="0057299A" w:rsidRPr="009B75BF">
        <w:rPr>
          <w:rFonts w:cs="Arial"/>
        </w:rPr>
        <w:t>am Haus angebaute Volieren oder ein umfunkti</w:t>
      </w:r>
      <w:r w:rsidR="0057299A" w:rsidRPr="009B75BF">
        <w:rPr>
          <w:rFonts w:cs="Arial"/>
        </w:rPr>
        <w:t>o</w:t>
      </w:r>
      <w:r w:rsidR="0057299A" w:rsidRPr="009B75BF">
        <w:rPr>
          <w:rFonts w:cs="Arial"/>
        </w:rPr>
        <w:t>niertes Stallgebäude</w:t>
      </w:r>
      <w:r w:rsidR="00B01F9C" w:rsidRPr="009B75BF">
        <w:rPr>
          <w:rFonts w:cs="Arial"/>
        </w:rPr>
        <w:t>.</w:t>
      </w:r>
    </w:p>
    <w:p w:rsidR="00320B42" w:rsidRPr="009B75BF" w:rsidRDefault="00F63195" w:rsidP="00F0750D">
      <w:pPr>
        <w:jc w:val="both"/>
        <w:rPr>
          <w:rFonts w:cs="Arial"/>
          <w:szCs w:val="22"/>
        </w:rPr>
      </w:pPr>
      <w:r w:rsidRPr="009B75BF">
        <w:t>Als wild lebend werden alle</w:t>
      </w:r>
      <w:r w:rsidR="00F0750D" w:rsidRPr="009B75BF">
        <w:rPr>
          <w:rFonts w:cs="Arial"/>
          <w:szCs w:val="22"/>
        </w:rPr>
        <w:t xml:space="preserve"> in Freiheit vorkommenden Arten, deren Exemplare nicht ausschließlich vom Menschen gezüchtet werden,</w:t>
      </w:r>
      <w:r w:rsidR="00F0750D" w:rsidRPr="009B75BF">
        <w:t xml:space="preserve"> (sprich: alle nicht domestizierten Arten) bezeichnet</w:t>
      </w:r>
      <w:r w:rsidR="00F0750D" w:rsidRPr="009B75BF">
        <w:rPr>
          <w:rFonts w:cs="Arial"/>
          <w:szCs w:val="22"/>
        </w:rPr>
        <w:t>. Auf das Einzelindividuum, welches sich vielleicht konkret in der Gefangenschaft des Menschen befindet, kommt es dabei nicht an. D</w:t>
      </w:r>
      <w:r w:rsidR="00D61EB8" w:rsidRPr="009B75BF">
        <w:t xml:space="preserve">er Gesetzgeber </w:t>
      </w:r>
      <w:r w:rsidR="00F0750D" w:rsidRPr="009B75BF">
        <w:t xml:space="preserve">unterscheidet </w:t>
      </w:r>
      <w:r w:rsidR="00DC1ACB" w:rsidRPr="009B75BF">
        <w:t xml:space="preserve">zusätzlich </w:t>
      </w:r>
      <w:r w:rsidR="00D61EB8" w:rsidRPr="009B75BF">
        <w:t xml:space="preserve">zwischen </w:t>
      </w:r>
      <w:r w:rsidR="00D61EB8" w:rsidRPr="009B75BF">
        <w:rPr>
          <w:b/>
        </w:rPr>
        <w:t xml:space="preserve">besonders </w:t>
      </w:r>
      <w:r w:rsidR="00DC1ACB" w:rsidRPr="009B75BF">
        <w:rPr>
          <w:b/>
        </w:rPr>
        <w:t xml:space="preserve">und nicht besonders </w:t>
      </w:r>
      <w:r w:rsidR="00D61EB8" w:rsidRPr="009B75BF">
        <w:rPr>
          <w:b/>
        </w:rPr>
        <w:t>geschützten Arten</w:t>
      </w:r>
      <w:r w:rsidR="00DC1ACB" w:rsidRPr="009B75BF">
        <w:t>. Wenn</w:t>
      </w:r>
      <w:r w:rsidR="00D61EB8" w:rsidRPr="009B75BF">
        <w:t xml:space="preserve"> in einem Tiergehege</w:t>
      </w:r>
      <w:r w:rsidR="00320B42" w:rsidRPr="009B75BF">
        <w:t>,</w:t>
      </w:r>
      <w:r w:rsidR="00D61EB8" w:rsidRPr="009B75BF">
        <w:t xml:space="preserve"> das o.g. Definition entspricht</w:t>
      </w:r>
      <w:r w:rsidRPr="009B75BF">
        <w:t>,</w:t>
      </w:r>
      <w:r w:rsidR="00D61EB8" w:rsidRPr="009B75BF">
        <w:t xml:space="preserve"> Tiere besonders geschützter</w:t>
      </w:r>
      <w:r w:rsidR="00320B42" w:rsidRPr="009B75BF">
        <w:t xml:space="preserve"> wild lebender</w:t>
      </w:r>
      <w:r w:rsidR="00DC1ACB" w:rsidRPr="009B75BF">
        <w:t xml:space="preserve"> Arten</w:t>
      </w:r>
      <w:r w:rsidR="00C2610D" w:rsidRPr="009B75BF">
        <w:t xml:space="preserve"> (auch wenn diese nicht meldepflichtig sind)</w:t>
      </w:r>
      <w:r w:rsidR="00DC1ACB" w:rsidRPr="009B75BF">
        <w:t xml:space="preserve"> gehalten werden,</w:t>
      </w:r>
      <w:r w:rsidR="00D61EB8" w:rsidRPr="009B75BF">
        <w:t xml:space="preserve"> unterliegt </w:t>
      </w:r>
      <w:r w:rsidR="00DC1ACB" w:rsidRPr="009B75BF">
        <w:t xml:space="preserve">es </w:t>
      </w:r>
      <w:r w:rsidR="00D61EB8" w:rsidRPr="009B75BF">
        <w:t>nach Landesrecht einer Genehmigungspflicht.</w:t>
      </w:r>
      <w:r w:rsidR="00320B42" w:rsidRPr="009B75BF">
        <w:rPr>
          <w:b/>
          <w:i/>
        </w:rPr>
        <w:t xml:space="preserve"> </w:t>
      </w:r>
      <w:r w:rsidR="00320B42" w:rsidRPr="009B75BF">
        <w:t xml:space="preserve">Als besonders geschützt </w:t>
      </w:r>
      <w:r w:rsidR="00DC1ACB" w:rsidRPr="009B75BF">
        <w:t>sind alle in</w:t>
      </w:r>
      <w:r w:rsidR="00320B42" w:rsidRPr="009B75BF">
        <w:t xml:space="preserve"> Anhang A und B der Verordnung (EG) Nr. 338/97 bzw. ihrer jeweils aktualisierten Fassung</w:t>
      </w:r>
      <w:r w:rsidR="00DC1ACB" w:rsidRPr="009B75BF">
        <w:t xml:space="preserve"> genannten Arten</w:t>
      </w:r>
      <w:r w:rsidR="00320B42" w:rsidRPr="009B75BF">
        <w:t xml:space="preserve">, </w:t>
      </w:r>
      <w:r w:rsidR="00DC1ACB" w:rsidRPr="009B75BF">
        <w:t xml:space="preserve">Tierarten </w:t>
      </w:r>
      <w:r w:rsidR="00320B42" w:rsidRPr="009B75BF">
        <w:t xml:space="preserve">aus Anhang IV der Richtlinie 92-43-EWG ("FFH-Richtlinie"), alle europäischen Vogelarten sowie alle Arten aus Anlage 1 der Bundesartenschutzverordnung (BArtSchV). </w:t>
      </w:r>
    </w:p>
    <w:p w:rsidR="00DC1ACB" w:rsidRPr="009B75BF" w:rsidRDefault="00DC1ACB" w:rsidP="00320B42">
      <w:pPr>
        <w:jc w:val="both"/>
      </w:pPr>
    </w:p>
    <w:p w:rsidR="00DC1ACB" w:rsidRPr="009B75BF" w:rsidRDefault="00DC1ACB" w:rsidP="00DC1ACB">
      <w:pPr>
        <w:jc w:val="both"/>
        <w:rPr>
          <w:b/>
        </w:rPr>
      </w:pPr>
      <w:r w:rsidRPr="009B75BF">
        <w:t>Tiergehege, in denen ausschließlich Tiere nicht besonders geschützter Arten gehalten werden, unterliegen keiner Genehmigungspflicht. Die im Bundesnaturschutzgesetz formulierte Anzeigepflicht kommt ebenfalls nicht zum Tragen. Sollten jedoch besonders und nicht besonders geschützte Tiere (z.B. Pennantsittiche und Wellensittiche) im selben Tiergehege gemeinsam gehalten werden, sind die Haltungsansprüche der nicht besonders geschützten Arten in der Genehmigung zusätzlich zu berücksichtigen.</w:t>
      </w:r>
    </w:p>
    <w:p w:rsidR="00DC1ACB" w:rsidRPr="009B75BF" w:rsidRDefault="00DC1ACB" w:rsidP="00320B42">
      <w:pPr>
        <w:jc w:val="both"/>
      </w:pPr>
    </w:p>
    <w:p w:rsidR="00F63195" w:rsidRPr="009B75BF" w:rsidRDefault="00F63195" w:rsidP="005329A4">
      <w:pPr>
        <w:rPr>
          <w:rFonts w:cs="Arial"/>
        </w:rPr>
      </w:pPr>
    </w:p>
    <w:p w:rsidR="00F63195" w:rsidRPr="009B75BF" w:rsidRDefault="00F63195" w:rsidP="00F63195">
      <w:pPr>
        <w:pStyle w:val="StandardWeb"/>
        <w:spacing w:before="0" w:beforeAutospacing="0" w:after="0" w:afterAutospacing="0"/>
        <w:outlineLvl w:val="0"/>
        <w:rPr>
          <w:rFonts w:ascii="Arial" w:hAnsi="Arial" w:cs="Arial"/>
        </w:rPr>
      </w:pPr>
      <w:r w:rsidRPr="009B75BF">
        <w:rPr>
          <w:rFonts w:ascii="Arial" w:hAnsi="Arial" w:cs="Arial"/>
          <w:b/>
          <w:u w:val="single"/>
        </w:rPr>
        <w:t>Genehmigungsvoraussetzungen zur Er</w:t>
      </w:r>
      <w:r w:rsidR="008C798C" w:rsidRPr="009B75BF">
        <w:rPr>
          <w:rFonts w:ascii="Arial" w:hAnsi="Arial" w:cs="Arial"/>
          <w:b/>
          <w:u w:val="single"/>
        </w:rPr>
        <w:t>richtung, wesentlichen Änderung</w:t>
      </w:r>
      <w:r w:rsidRPr="009B75BF">
        <w:rPr>
          <w:rFonts w:ascii="Arial" w:hAnsi="Arial" w:cs="Arial"/>
          <w:b/>
          <w:u w:val="single"/>
        </w:rPr>
        <w:t xml:space="preserve"> und zum Betreiben eines Tiergeh</w:t>
      </w:r>
      <w:r w:rsidRPr="009B75BF">
        <w:rPr>
          <w:rFonts w:ascii="Arial" w:hAnsi="Arial" w:cs="Arial"/>
          <w:b/>
          <w:u w:val="single"/>
        </w:rPr>
        <w:t>e</w:t>
      </w:r>
      <w:r w:rsidRPr="009B75BF">
        <w:rPr>
          <w:rFonts w:ascii="Arial" w:hAnsi="Arial" w:cs="Arial"/>
          <w:b/>
          <w:u w:val="single"/>
        </w:rPr>
        <w:t>ges</w:t>
      </w:r>
      <w:r w:rsidRPr="009B75BF">
        <w:rPr>
          <w:rFonts w:ascii="Arial" w:hAnsi="Arial" w:cs="Arial"/>
        </w:rPr>
        <w:t>:</w:t>
      </w:r>
    </w:p>
    <w:p w:rsidR="00F63195" w:rsidRPr="009B75BF" w:rsidRDefault="00F63195" w:rsidP="00DC1ACB">
      <w:pPr>
        <w:pStyle w:val="StandardWeb"/>
        <w:spacing w:before="0" w:beforeAutospacing="0" w:after="0" w:afterAutospacing="0"/>
        <w:jc w:val="both"/>
      </w:pPr>
    </w:p>
    <w:p w:rsidR="00F63195" w:rsidRPr="009B75BF" w:rsidRDefault="00EC64C2" w:rsidP="00DC1ACB">
      <w:pPr>
        <w:jc w:val="both"/>
      </w:pPr>
      <w:r w:rsidRPr="009B75BF">
        <w:t>Die</w:t>
      </w:r>
      <w:r w:rsidR="0081386C" w:rsidRPr="009B75BF">
        <w:t xml:space="preserve"> </w:t>
      </w:r>
      <w:r w:rsidR="00F63195" w:rsidRPr="009B75BF">
        <w:rPr>
          <w:b/>
        </w:rPr>
        <w:t>Genehmigungsvoraussetzungen</w:t>
      </w:r>
      <w:r w:rsidR="00F63195" w:rsidRPr="009B75BF">
        <w:t xml:space="preserve"> richten sich nach § 33 Abs. 3 Satz 2 Nr. 1 bis 7 ThürNatG. Die Genehmigung darf </w:t>
      </w:r>
      <w:r w:rsidR="0081386C" w:rsidRPr="009B75BF">
        <w:t xml:space="preserve">demnach </w:t>
      </w:r>
      <w:r w:rsidR="00F63195" w:rsidRPr="009B75BF">
        <w:t>unbeschadet anderer, insbesondere tie</w:t>
      </w:r>
      <w:r w:rsidR="00F63195" w:rsidRPr="009B75BF">
        <w:t>r</w:t>
      </w:r>
      <w:r w:rsidR="00F63195" w:rsidRPr="009B75BF">
        <w:t>schutz- und tierseuchenrechtlicher Bestimmungen nur erteilt we</w:t>
      </w:r>
      <w:r w:rsidR="00F63195" w:rsidRPr="009B75BF">
        <w:t>r</w:t>
      </w:r>
      <w:r w:rsidR="00F63195" w:rsidRPr="009B75BF">
        <w:t>den, wenn</w:t>
      </w:r>
    </w:p>
    <w:p w:rsidR="00F63195" w:rsidRPr="009B75BF" w:rsidRDefault="00F63195" w:rsidP="00291DB8">
      <w:pPr>
        <w:numPr>
          <w:ilvl w:val="0"/>
          <w:numId w:val="17"/>
        </w:numPr>
        <w:autoSpaceDE w:val="0"/>
        <w:autoSpaceDN w:val="0"/>
        <w:adjustRightInd w:val="0"/>
        <w:jc w:val="both"/>
      </w:pPr>
      <w:r w:rsidRPr="009B75BF">
        <w:t>die Tiere so gehalten werden, dass den biologischen und den Erhaltungsbedürfni</w:t>
      </w:r>
      <w:r w:rsidRPr="009B75BF">
        <w:t>s</w:t>
      </w:r>
      <w:r w:rsidRPr="009B75BF">
        <w:t>sen der jeweiligen Art Rechnung g</w:t>
      </w:r>
      <w:r w:rsidRPr="009B75BF">
        <w:t>e</w:t>
      </w:r>
      <w:r w:rsidRPr="009B75BF">
        <w:t>tragen wird,</w:t>
      </w:r>
    </w:p>
    <w:p w:rsidR="00F63195" w:rsidRPr="009B75BF" w:rsidRDefault="00F63195" w:rsidP="00291DB8">
      <w:pPr>
        <w:numPr>
          <w:ilvl w:val="0"/>
          <w:numId w:val="17"/>
        </w:numPr>
        <w:autoSpaceDE w:val="0"/>
        <w:autoSpaceDN w:val="0"/>
        <w:adjustRightInd w:val="0"/>
        <w:jc w:val="both"/>
      </w:pPr>
      <w:r w:rsidRPr="009B75BF">
        <w:t>die Haltung der Tiere stets hohen Anforderungen genügt, unter anderem die fac</w:t>
      </w:r>
      <w:r w:rsidRPr="009B75BF">
        <w:t>h</w:t>
      </w:r>
      <w:r w:rsidRPr="009B75BF">
        <w:t>gerechte Betreuung gewährleistet ist, und ein gut durc</w:t>
      </w:r>
      <w:r w:rsidRPr="009B75BF">
        <w:t>h</w:t>
      </w:r>
      <w:r w:rsidRPr="009B75BF">
        <w:t xml:space="preserve">dachtes Programm zur </w:t>
      </w:r>
      <w:r w:rsidRPr="009B75BF">
        <w:lastRenderedPageBreak/>
        <w:t>tiermedizinischen Vorbeugung und Behandlung sowie zur artgerechten Ernährung und Pflege vo</w:t>
      </w:r>
      <w:r w:rsidRPr="009B75BF">
        <w:t>r</w:t>
      </w:r>
      <w:r w:rsidRPr="009B75BF">
        <w:t>liegt,</w:t>
      </w:r>
    </w:p>
    <w:p w:rsidR="00F63195" w:rsidRPr="009B75BF" w:rsidRDefault="00F63195" w:rsidP="00291DB8">
      <w:pPr>
        <w:numPr>
          <w:ilvl w:val="0"/>
          <w:numId w:val="17"/>
        </w:numPr>
        <w:autoSpaceDE w:val="0"/>
        <w:autoSpaceDN w:val="0"/>
        <w:adjustRightInd w:val="0"/>
        <w:jc w:val="both"/>
      </w:pPr>
      <w:r w:rsidRPr="009B75BF">
        <w:t>ein Register über den Tierbestand des Zoos oder Tiergeheges in einer den ve</w:t>
      </w:r>
      <w:r w:rsidRPr="009B75BF">
        <w:t>r</w:t>
      </w:r>
      <w:r w:rsidRPr="009B75BF">
        <w:t>zeichneten Arten jeweils angemessenen Form geführt und auf dem neuesten Stand gehalten wird, in dem insbesondere die Zu- und Abgänge unverzüglich eingetr</w:t>
      </w:r>
      <w:r w:rsidRPr="009B75BF">
        <w:t>a</w:t>
      </w:r>
      <w:r w:rsidRPr="009B75BF">
        <w:t>gen we</w:t>
      </w:r>
      <w:r w:rsidRPr="009B75BF">
        <w:t>r</w:t>
      </w:r>
      <w:r w:rsidRPr="009B75BF">
        <w:t>den,</w:t>
      </w:r>
    </w:p>
    <w:p w:rsidR="00F63195" w:rsidRPr="009B75BF" w:rsidRDefault="00F63195" w:rsidP="00291DB8">
      <w:pPr>
        <w:numPr>
          <w:ilvl w:val="0"/>
          <w:numId w:val="17"/>
        </w:numPr>
        <w:jc w:val="both"/>
      </w:pPr>
      <w:r w:rsidRPr="009B75BF">
        <w:t>Belange des Artenschutzes nicht entgegenst</w:t>
      </w:r>
      <w:r w:rsidRPr="009B75BF">
        <w:t>e</w:t>
      </w:r>
      <w:r w:rsidRPr="009B75BF">
        <w:t>hen,</w:t>
      </w:r>
    </w:p>
    <w:p w:rsidR="00F63195" w:rsidRPr="009B75BF" w:rsidRDefault="00F63195" w:rsidP="00291DB8">
      <w:pPr>
        <w:numPr>
          <w:ilvl w:val="0"/>
          <w:numId w:val="17"/>
        </w:numPr>
        <w:jc w:val="both"/>
      </w:pPr>
      <w:r w:rsidRPr="009B75BF">
        <w:t>dem Entweichen der Tiere vorgebeugt wird,</w:t>
      </w:r>
    </w:p>
    <w:p w:rsidR="00F63195" w:rsidRPr="009B75BF" w:rsidRDefault="00F63195" w:rsidP="00291DB8">
      <w:pPr>
        <w:numPr>
          <w:ilvl w:val="0"/>
          <w:numId w:val="17"/>
        </w:numPr>
        <w:jc w:val="both"/>
      </w:pPr>
      <w:r w:rsidRPr="009B75BF">
        <w:t>dem Eindringen von Schädlingen und Ungeziefer von außen vorgebeugt wird,</w:t>
      </w:r>
    </w:p>
    <w:p w:rsidR="00F63195" w:rsidRPr="009B75BF" w:rsidRDefault="00F63195" w:rsidP="00291DB8">
      <w:pPr>
        <w:numPr>
          <w:ilvl w:val="0"/>
          <w:numId w:val="17"/>
        </w:numPr>
        <w:autoSpaceDE w:val="0"/>
        <w:autoSpaceDN w:val="0"/>
        <w:adjustRightInd w:val="0"/>
        <w:jc w:val="both"/>
      </w:pPr>
      <w:r w:rsidRPr="009B75BF">
        <w:t>der Zugang zur freien Landschaft durch die Anlage nicht in unangemessener Weise eing</w:t>
      </w:r>
      <w:r w:rsidRPr="009B75BF">
        <w:t>e</w:t>
      </w:r>
      <w:r w:rsidRPr="009B75BF">
        <w:t>schränkt wird.</w:t>
      </w:r>
      <w:r w:rsidRPr="009B75BF">
        <w:rPr>
          <w:b/>
        </w:rPr>
        <w:tab/>
      </w:r>
    </w:p>
    <w:p w:rsidR="00F63195" w:rsidRPr="009B75BF" w:rsidRDefault="00F63195" w:rsidP="00DC1ACB">
      <w:pPr>
        <w:autoSpaceDE w:val="0"/>
        <w:autoSpaceDN w:val="0"/>
        <w:adjustRightInd w:val="0"/>
        <w:jc w:val="both"/>
      </w:pPr>
    </w:p>
    <w:p w:rsidR="00F63195" w:rsidRPr="009B75BF" w:rsidRDefault="00F63195" w:rsidP="00DC1ACB">
      <w:pPr>
        <w:jc w:val="both"/>
      </w:pPr>
      <w:r w:rsidRPr="009B75BF">
        <w:t>Die Tiergehegegenehmigung schließt die Genehmi</w:t>
      </w:r>
      <w:r w:rsidRPr="009B75BF">
        <w:softHyphen/>
        <w:t>gung nach § 11 des Tierschutzgesetzes mit ein</w:t>
      </w:r>
      <w:r w:rsidR="008B7FCB" w:rsidRPr="009B75BF">
        <w:t xml:space="preserve">, insofern diese notwendig ist und noch nicht </w:t>
      </w:r>
      <w:r w:rsidR="00DC1ACB" w:rsidRPr="009B75BF">
        <w:t xml:space="preserve">separat </w:t>
      </w:r>
      <w:r w:rsidR="008B7FCB" w:rsidRPr="009B75BF">
        <w:t>erteilt wurde</w:t>
      </w:r>
      <w:r w:rsidRPr="009B75BF">
        <w:t>.</w:t>
      </w:r>
      <w:r w:rsidR="00C8245E" w:rsidRPr="009B75BF">
        <w:rPr>
          <w:rFonts w:cs="Arial"/>
        </w:rPr>
        <w:t xml:space="preserve"> </w:t>
      </w:r>
      <w:r w:rsidR="002B2884" w:rsidRPr="009B75BF">
        <w:rPr>
          <w:rFonts w:cs="Arial"/>
        </w:rPr>
        <w:t>Unabhängig von der Tiergehegegenehmigung muss der Tierhalter prüfen, ob zusätzlich Genehmigungen</w:t>
      </w:r>
      <w:r w:rsidR="00FF18E5" w:rsidRPr="009B75BF">
        <w:rPr>
          <w:rFonts w:cs="Arial"/>
        </w:rPr>
        <w:t>, z. B.</w:t>
      </w:r>
      <w:r w:rsidR="002B2884" w:rsidRPr="009B75BF">
        <w:rPr>
          <w:rFonts w:cs="Arial"/>
        </w:rPr>
        <w:t xml:space="preserve"> nach § 17 g Tierseuchengesetz oder nach Baurecht nötig sind</w:t>
      </w:r>
      <w:r w:rsidR="00C8245E" w:rsidRPr="009B75BF">
        <w:rPr>
          <w:rFonts w:cs="Arial"/>
        </w:rPr>
        <w:t xml:space="preserve">. </w:t>
      </w:r>
      <w:r w:rsidR="00D12038" w:rsidRPr="009B75BF">
        <w:t xml:space="preserve">Ein Antrag </w:t>
      </w:r>
      <w:r w:rsidR="00FF18E5" w:rsidRPr="009B75BF">
        <w:t>auf Erteilung einer</w:t>
      </w:r>
      <w:r w:rsidR="00D12038" w:rsidRPr="009B75BF">
        <w:t xml:space="preserve"> Genehmigung </w:t>
      </w:r>
      <w:r w:rsidR="00FF18E5" w:rsidRPr="009B75BF">
        <w:t>zur</w:t>
      </w:r>
      <w:r w:rsidR="00D12038" w:rsidRPr="009B75BF">
        <w:t xml:space="preserve"> Errichtung</w:t>
      </w:r>
      <w:r w:rsidR="00FF18E5" w:rsidRPr="009B75BF">
        <w:t>, wesentlichen Änderung</w:t>
      </w:r>
      <w:r w:rsidR="00D12038" w:rsidRPr="009B75BF">
        <w:t xml:space="preserve"> und </w:t>
      </w:r>
      <w:r w:rsidR="00FF18E5" w:rsidRPr="009B75BF">
        <w:t>zum</w:t>
      </w:r>
      <w:r w:rsidR="00D12038" w:rsidRPr="009B75BF">
        <w:t xml:space="preserve"> Betrieb eines Tiergeheges sowie Erläuterungen zur </w:t>
      </w:r>
      <w:r w:rsidR="00203C08" w:rsidRPr="009B75BF">
        <w:t>Antragstellung sind als Anlage 1 und 2</w:t>
      </w:r>
      <w:r w:rsidR="00D12038" w:rsidRPr="009B75BF">
        <w:t xml:space="preserve"> beigefügt.</w:t>
      </w:r>
    </w:p>
    <w:p w:rsidR="00EC64C2" w:rsidRPr="009B75BF" w:rsidRDefault="00EC64C2" w:rsidP="00DC1ACB">
      <w:pPr>
        <w:jc w:val="both"/>
      </w:pPr>
    </w:p>
    <w:p w:rsidR="008B7FCB" w:rsidRPr="009B75BF" w:rsidRDefault="001A14A3" w:rsidP="00DC1ACB">
      <w:pPr>
        <w:jc w:val="both"/>
      </w:pPr>
      <w:r w:rsidRPr="009B75BF">
        <w:t>Zur Beurteilung</w:t>
      </w:r>
      <w:r w:rsidR="00FF18E5" w:rsidRPr="009B75BF">
        <w:t>,</w:t>
      </w:r>
      <w:r w:rsidRPr="009B75BF">
        <w:t xml:space="preserve"> ob die Tiere so gehalten werden, dass den biologischen und den Erhaltungsbedürfni</w:t>
      </w:r>
      <w:r w:rsidRPr="009B75BF">
        <w:t>s</w:t>
      </w:r>
      <w:r w:rsidRPr="009B75BF">
        <w:t>sen der jeweiligen Art Rechnung g</w:t>
      </w:r>
      <w:r w:rsidRPr="009B75BF">
        <w:t>e</w:t>
      </w:r>
      <w:r w:rsidRPr="009B75BF">
        <w:t>tragen wird</w:t>
      </w:r>
      <w:r w:rsidR="00A93FE9" w:rsidRPr="009B75BF">
        <w:t xml:space="preserve"> </w:t>
      </w:r>
      <w:r w:rsidRPr="009B75BF">
        <w:t xml:space="preserve">und die Haltung der Tiere stets hohen Anforderungen genügt, dient </w:t>
      </w:r>
      <w:r w:rsidR="00D12038" w:rsidRPr="009B75BF">
        <w:t xml:space="preserve">als Arbeitsmittel für die Behörden </w:t>
      </w:r>
      <w:r w:rsidRPr="009B75BF">
        <w:t xml:space="preserve">die </w:t>
      </w:r>
      <w:r w:rsidR="00FF18E5" w:rsidRPr="009B75BF">
        <w:t xml:space="preserve">Tabelle der </w:t>
      </w:r>
      <w:r w:rsidRPr="009B75BF">
        <w:t>"</w:t>
      </w:r>
      <w:r w:rsidR="00FF18E5" w:rsidRPr="009B75BF">
        <w:t>Richtwerte zur erforderlichen Größe von Tiergehegen in Thüringen zur Erfüllung stets hoher Anforderungen an die Tierhaltung gemäß § 33 Abs. 3 Nr. 2 ThürNatG“.</w:t>
      </w:r>
      <w:r w:rsidR="00FF18E5" w:rsidRPr="009B75BF">
        <w:rPr>
          <w:b/>
          <w:sz w:val="22"/>
        </w:rPr>
        <w:t xml:space="preserve"> </w:t>
      </w:r>
      <w:r w:rsidR="00C2610D" w:rsidRPr="009B75BF">
        <w:t>Wenn sich ent</w:t>
      </w:r>
      <w:r w:rsidR="00C2610D" w:rsidRPr="009B75BF">
        <w:softHyphen/>
        <w:t>sprechend dem Stand der Wissenschaft die Anforderun</w:t>
      </w:r>
      <w:r w:rsidR="00C2610D" w:rsidRPr="009B75BF">
        <w:softHyphen/>
        <w:t>gen an die Ha</w:t>
      </w:r>
      <w:r w:rsidR="00C2610D" w:rsidRPr="009B75BF">
        <w:t>l</w:t>
      </w:r>
      <w:r w:rsidR="00C2610D" w:rsidRPr="009B75BF">
        <w:t>tung von Tieren ändern, werden auch die</w:t>
      </w:r>
      <w:r w:rsidR="00DC1ACB" w:rsidRPr="009B75BF">
        <w:t>se</w:t>
      </w:r>
      <w:r w:rsidR="00C2610D" w:rsidRPr="009B75BF">
        <w:t xml:space="preserve"> Richtwerte entsprechend </w:t>
      </w:r>
      <w:r w:rsidR="008C798C" w:rsidRPr="009B75BF">
        <w:t xml:space="preserve">neu </w:t>
      </w:r>
      <w:r w:rsidR="00C2610D" w:rsidRPr="009B75BF">
        <w:t>angepasst. An der Fortschreibung der Richtw</w:t>
      </w:r>
      <w:r w:rsidR="008C798C" w:rsidRPr="009B75BF">
        <w:t xml:space="preserve">ertetabelle können </w:t>
      </w:r>
      <w:r w:rsidR="00D12038" w:rsidRPr="009B75BF">
        <w:t xml:space="preserve">sich </w:t>
      </w:r>
      <w:r w:rsidR="00C2610D" w:rsidRPr="009B75BF">
        <w:t xml:space="preserve">Thüringer Zucht- und Tierhalterverbände </w:t>
      </w:r>
      <w:r w:rsidR="00D12038" w:rsidRPr="009B75BF">
        <w:t>beteiligen</w:t>
      </w:r>
      <w:r w:rsidR="00C2610D" w:rsidRPr="009B75BF">
        <w:t>.</w:t>
      </w:r>
    </w:p>
    <w:p w:rsidR="006058CD" w:rsidRPr="009B75BF" w:rsidRDefault="006058CD" w:rsidP="00DC1ACB">
      <w:pPr>
        <w:autoSpaceDE w:val="0"/>
        <w:autoSpaceDN w:val="0"/>
        <w:adjustRightInd w:val="0"/>
        <w:jc w:val="both"/>
      </w:pPr>
    </w:p>
    <w:p w:rsidR="00FF18E5" w:rsidRPr="009B75BF" w:rsidRDefault="00FF18E5" w:rsidP="00FF18E5">
      <w:pPr>
        <w:jc w:val="both"/>
        <w:rPr>
          <w:b/>
          <w:sz w:val="22"/>
        </w:rPr>
      </w:pPr>
      <w:r w:rsidRPr="009B75BF">
        <w:rPr>
          <w:b/>
          <w:sz w:val="22"/>
        </w:rPr>
        <w:t>Richtwerte zur erforderlichen Größe von Tiergehegen in Thüringen zur Erfüllung stets hoher Anforderungen an die Tierhaltung gemäß § 33 Abs. 3 Nr. 2 ThürNatG</w:t>
      </w:r>
    </w:p>
    <w:p w:rsidR="00DC1ACB" w:rsidRPr="009B75BF" w:rsidRDefault="00DC1ACB" w:rsidP="00DC1ACB">
      <w:pPr>
        <w:autoSpaceDE w:val="0"/>
        <w:autoSpaceDN w:val="0"/>
        <w:adjustRightInd w:val="0"/>
        <w:jc w:val="both"/>
      </w:pPr>
    </w:p>
    <w:p w:rsidR="006058CD" w:rsidRPr="009B75BF" w:rsidRDefault="00DC1ACB" w:rsidP="00577020">
      <w:pPr>
        <w:rPr>
          <w:b/>
          <w:u w:val="single"/>
        </w:rPr>
      </w:pPr>
      <w:r w:rsidRPr="009B75BF">
        <w:rPr>
          <w:b/>
          <w:u w:val="single"/>
        </w:rPr>
        <w:t xml:space="preserve">Betrieb des Tiergeheges </w:t>
      </w:r>
      <w:r w:rsidR="006058CD" w:rsidRPr="009B75BF">
        <w:rPr>
          <w:b/>
          <w:u w:val="single"/>
        </w:rPr>
        <w:t>nach erteilter Genehmigung:</w:t>
      </w:r>
    </w:p>
    <w:p w:rsidR="00DC1ACB" w:rsidRPr="009B75BF" w:rsidRDefault="00DC1ACB" w:rsidP="00DC1ACB">
      <w:pPr>
        <w:jc w:val="both"/>
        <w:rPr>
          <w:b/>
          <w:u w:val="single"/>
        </w:rPr>
      </w:pPr>
    </w:p>
    <w:p w:rsidR="00F63195" w:rsidRPr="009B75BF" w:rsidRDefault="001A14A3" w:rsidP="00DC1ACB">
      <w:pPr>
        <w:jc w:val="both"/>
      </w:pPr>
      <w:r w:rsidRPr="009B75BF">
        <w:t>Wenn sich ent</w:t>
      </w:r>
      <w:r w:rsidRPr="009B75BF">
        <w:softHyphen/>
        <w:t>sprechend dem Stand der Wissenschaft die Anforderun</w:t>
      </w:r>
      <w:r w:rsidRPr="009B75BF">
        <w:softHyphen/>
        <w:t>gen an die Ha</w:t>
      </w:r>
      <w:r w:rsidRPr="009B75BF">
        <w:t>l</w:t>
      </w:r>
      <w:r w:rsidRPr="009B75BF">
        <w:t xml:space="preserve">tung von Tieren nachträglich ändern, kann </w:t>
      </w:r>
      <w:r w:rsidR="00203C08" w:rsidRPr="009B75BF">
        <w:t>die untere Naturschutzbehörde zusammen mit</w:t>
      </w:r>
      <w:r w:rsidRPr="009B75BF">
        <w:t xml:space="preserve"> der Tie</w:t>
      </w:r>
      <w:r w:rsidRPr="009B75BF">
        <w:t>r</w:t>
      </w:r>
      <w:r w:rsidRPr="009B75BF">
        <w:t>schutz</w:t>
      </w:r>
      <w:r w:rsidRPr="009B75BF">
        <w:softHyphen/>
        <w:t xml:space="preserve">behörde </w:t>
      </w:r>
      <w:r w:rsidR="00DC1ACB" w:rsidRPr="009B75BF">
        <w:t xml:space="preserve">(Veterinäramt) </w:t>
      </w:r>
      <w:r w:rsidRPr="009B75BF">
        <w:t>die erforderli</w:t>
      </w:r>
      <w:r w:rsidRPr="009B75BF">
        <w:softHyphen/>
        <w:t>chen Anordnungen</w:t>
      </w:r>
      <w:r w:rsidR="00DC1ACB" w:rsidRPr="009B75BF">
        <w:t xml:space="preserve"> zur Anpassung der Haltungsbedingungen</w:t>
      </w:r>
      <w:r w:rsidRPr="009B75BF">
        <w:t xml:space="preserve"> treffen.</w:t>
      </w:r>
      <w:r w:rsidR="00291DB8" w:rsidRPr="009B75BF">
        <w:t xml:space="preserve"> </w:t>
      </w:r>
      <w:r w:rsidR="00DC1ACB" w:rsidRPr="009B75BF">
        <w:t>Eine erteilte</w:t>
      </w:r>
      <w:r w:rsidR="00F63195" w:rsidRPr="009B75BF">
        <w:t xml:space="preserve"> Tiergehege</w:t>
      </w:r>
      <w:r w:rsidR="00291DB8" w:rsidRPr="009B75BF">
        <w:t>-</w:t>
      </w:r>
      <w:r w:rsidR="00F63195" w:rsidRPr="009B75BF">
        <w:t xml:space="preserve">genehmigung kann </w:t>
      </w:r>
      <w:r w:rsidR="00DC1ACB" w:rsidRPr="009B75BF">
        <w:t>auch</w:t>
      </w:r>
      <w:r w:rsidR="00F63195" w:rsidRPr="009B75BF">
        <w:t xml:space="preserve"> widerrufen werden, wenn arte</w:t>
      </w:r>
      <w:r w:rsidR="00F63195" w:rsidRPr="009B75BF">
        <w:t>n</w:t>
      </w:r>
      <w:r w:rsidR="00F63195" w:rsidRPr="009B75BF">
        <w:t>schutz-, tierschutz- oder tierseuchenrechtliche Be</w:t>
      </w:r>
      <w:r w:rsidR="00F63195" w:rsidRPr="009B75BF">
        <w:softHyphen/>
        <w:t>stimmungen nicht eingehalten we</w:t>
      </w:r>
      <w:r w:rsidR="00F63195" w:rsidRPr="009B75BF">
        <w:t>r</w:t>
      </w:r>
      <w:r w:rsidR="00F63195" w:rsidRPr="009B75BF">
        <w:t>den</w:t>
      </w:r>
      <w:r w:rsidR="00291DB8" w:rsidRPr="009B75BF">
        <w:t>.</w:t>
      </w:r>
    </w:p>
    <w:p w:rsidR="00F63195" w:rsidRPr="009B75BF" w:rsidRDefault="00F63195" w:rsidP="00F63195">
      <w:pPr>
        <w:autoSpaceDE w:val="0"/>
        <w:autoSpaceDN w:val="0"/>
        <w:adjustRightInd w:val="0"/>
      </w:pPr>
    </w:p>
    <w:p w:rsidR="006058CD" w:rsidRPr="009B75BF" w:rsidRDefault="006058CD" w:rsidP="00F63195">
      <w:pPr>
        <w:autoSpaceDE w:val="0"/>
        <w:autoSpaceDN w:val="0"/>
        <w:adjustRightInd w:val="0"/>
      </w:pPr>
    </w:p>
    <w:p w:rsidR="006058CD" w:rsidRPr="009B75BF" w:rsidRDefault="00D965BB" w:rsidP="00F63195">
      <w:pPr>
        <w:autoSpaceDE w:val="0"/>
        <w:autoSpaceDN w:val="0"/>
        <w:adjustRightInd w:val="0"/>
        <w:rPr>
          <w:b/>
          <w:u w:val="single"/>
        </w:rPr>
      </w:pPr>
      <w:r w:rsidRPr="009B75BF">
        <w:rPr>
          <w:b/>
          <w:u w:val="single"/>
        </w:rPr>
        <w:t>Errichtung</w:t>
      </w:r>
      <w:r w:rsidR="00F87A30" w:rsidRPr="009B75BF">
        <w:rPr>
          <w:b/>
          <w:u w:val="single"/>
        </w:rPr>
        <w:t>, wesentliche Änderung</w:t>
      </w:r>
      <w:r w:rsidRPr="009B75BF">
        <w:rPr>
          <w:b/>
          <w:u w:val="single"/>
        </w:rPr>
        <w:t xml:space="preserve"> oder </w:t>
      </w:r>
      <w:r w:rsidR="006058CD" w:rsidRPr="009B75BF">
        <w:rPr>
          <w:b/>
          <w:u w:val="single"/>
        </w:rPr>
        <w:t xml:space="preserve">Betrieb </w:t>
      </w:r>
      <w:r w:rsidRPr="009B75BF">
        <w:rPr>
          <w:b/>
          <w:u w:val="single"/>
        </w:rPr>
        <w:t xml:space="preserve">von Tiergehegen </w:t>
      </w:r>
      <w:r w:rsidR="006058CD" w:rsidRPr="009B75BF">
        <w:rPr>
          <w:b/>
          <w:u w:val="single"/>
        </w:rPr>
        <w:t>ohne Genehmigung</w:t>
      </w:r>
      <w:r w:rsidRPr="009B75BF">
        <w:rPr>
          <w:b/>
          <w:u w:val="single"/>
        </w:rPr>
        <w:t>:</w:t>
      </w:r>
    </w:p>
    <w:p w:rsidR="00D965BB" w:rsidRPr="009B75BF" w:rsidRDefault="00D965BB" w:rsidP="00F63195">
      <w:pPr>
        <w:autoSpaceDE w:val="0"/>
        <w:autoSpaceDN w:val="0"/>
        <w:adjustRightInd w:val="0"/>
        <w:rPr>
          <w:b/>
          <w:u w:val="single"/>
        </w:rPr>
      </w:pPr>
    </w:p>
    <w:p w:rsidR="001360A8" w:rsidRPr="009B75BF" w:rsidRDefault="00871DA5" w:rsidP="003E1065">
      <w:pPr>
        <w:jc w:val="both"/>
      </w:pPr>
      <w:r w:rsidRPr="009B75BF">
        <w:t xml:space="preserve">Bei Tiergehegen, die vor </w:t>
      </w:r>
      <w:r w:rsidR="008F4B2E" w:rsidRPr="009B75BF">
        <w:t>09.02.</w:t>
      </w:r>
      <w:r w:rsidRPr="009B75BF">
        <w:t xml:space="preserve">1993 </w:t>
      </w:r>
      <w:r w:rsidR="008F4B2E" w:rsidRPr="009B75BF">
        <w:t xml:space="preserve">(Inkrafttreten des Vorläufigen Thüringer Naturschutzgesetzes) </w:t>
      </w:r>
      <w:r w:rsidRPr="009B75BF">
        <w:t xml:space="preserve">errichtet wurden oder die danach </w:t>
      </w:r>
      <w:r w:rsidR="00F63195" w:rsidRPr="009B75BF">
        <w:t>entg</w:t>
      </w:r>
      <w:r w:rsidR="00F63195" w:rsidRPr="009B75BF">
        <w:t>e</w:t>
      </w:r>
      <w:r w:rsidR="00F63195" w:rsidRPr="009B75BF">
        <w:t>gen § 33 ThürNatG errichtet, wesentlich geändert oder betrieben</w:t>
      </w:r>
      <w:r w:rsidRPr="009B75BF">
        <w:t xml:space="preserve"> worden sind</w:t>
      </w:r>
      <w:r w:rsidR="00F63195" w:rsidRPr="009B75BF">
        <w:t>,</w:t>
      </w:r>
      <w:r w:rsidRPr="009B75BF">
        <w:t xml:space="preserve"> </w:t>
      </w:r>
      <w:r w:rsidR="00F63195" w:rsidRPr="009B75BF">
        <w:t>trifft die u</w:t>
      </w:r>
      <w:r w:rsidR="00F63195" w:rsidRPr="009B75BF">
        <w:t>n</w:t>
      </w:r>
      <w:r w:rsidR="00F63195" w:rsidRPr="009B75BF">
        <w:t xml:space="preserve">tere </w:t>
      </w:r>
      <w:r w:rsidR="00F63195" w:rsidRPr="009B75BF">
        <w:lastRenderedPageBreak/>
        <w:t>Naturschutzbehörde geeignete Anordnungen, die die Einhaltung der Genehm</w:t>
      </w:r>
      <w:r w:rsidR="00F63195" w:rsidRPr="009B75BF">
        <w:t>i</w:t>
      </w:r>
      <w:r w:rsidR="00F63195" w:rsidRPr="009B75BF">
        <w:t>gungs</w:t>
      </w:r>
      <w:r w:rsidR="003E1065" w:rsidRPr="009B75BF">
        <w:t>-</w:t>
      </w:r>
      <w:r w:rsidR="00F63195" w:rsidRPr="009B75BF">
        <w:t>voraussetzungen innerhalb einer angemessenen Frist sicherstell</w:t>
      </w:r>
      <w:r w:rsidR="00290343" w:rsidRPr="009B75BF">
        <w:t xml:space="preserve">en. Diese kann in </w:t>
      </w:r>
      <w:r w:rsidR="00203C08" w:rsidRPr="009B75BF">
        <w:t>Einzel</w:t>
      </w:r>
      <w:r w:rsidR="00290343" w:rsidRPr="009B75BF">
        <w:t xml:space="preserve">fällen </w:t>
      </w:r>
      <w:r w:rsidR="00290343" w:rsidRPr="009B75BF">
        <w:rPr>
          <w:rFonts w:cs="Arial"/>
        </w:rPr>
        <w:t xml:space="preserve">bis zu 3 Jahren betragen. </w:t>
      </w:r>
      <w:r w:rsidR="001360A8" w:rsidRPr="009B75BF">
        <w:t xml:space="preserve">Ein </w:t>
      </w:r>
      <w:r w:rsidR="001360A8" w:rsidRPr="009B75BF">
        <w:rPr>
          <w:b/>
        </w:rPr>
        <w:t>Bestandsschutz</w:t>
      </w:r>
      <w:r w:rsidR="001360A8" w:rsidRPr="009B75BF">
        <w:t xml:space="preserve"> für </w:t>
      </w:r>
      <w:r w:rsidR="00203C08" w:rsidRPr="009B75BF">
        <w:t xml:space="preserve">Altgehege (auch für Anlagen aus DDR-Zeit) </w:t>
      </w:r>
      <w:r w:rsidR="00F87A30" w:rsidRPr="009B75BF">
        <w:t>gibt es nicht.</w:t>
      </w:r>
      <w:r w:rsidR="001360A8" w:rsidRPr="009B75BF">
        <w:t xml:space="preserve"> </w:t>
      </w:r>
    </w:p>
    <w:p w:rsidR="00F63195" w:rsidRPr="009B75BF" w:rsidRDefault="00F63195" w:rsidP="00A93FE9"/>
    <w:p w:rsidR="00F63195" w:rsidRPr="009B75BF" w:rsidRDefault="00F63195" w:rsidP="003E1065">
      <w:pPr>
        <w:jc w:val="both"/>
      </w:pPr>
      <w:r w:rsidRPr="009B75BF">
        <w:t xml:space="preserve">Kommt der Betreiber den Anordnungen nicht nach, so ist innerhalb eines Zeitraums von höchstens zwei Jahren </w:t>
      </w:r>
      <w:r w:rsidR="00F87A30" w:rsidRPr="009B75BF">
        <w:t xml:space="preserve">nach deren Erlass bzw. nach dem Verstreichen der Frist eine erteilte Genehmigung ganz oder teilweise widerrufen und </w:t>
      </w:r>
      <w:r w:rsidR="000E211B" w:rsidRPr="009B75BF">
        <w:t xml:space="preserve">die </w:t>
      </w:r>
      <w:r w:rsidR="00F87A30" w:rsidRPr="009B75BF">
        <w:t xml:space="preserve">Schließung der Gehegeanlage oder eines teils davon zu verfügen. Auch sind </w:t>
      </w:r>
      <w:r w:rsidR="000E211B" w:rsidRPr="009B75BF">
        <w:t>die</w:t>
      </w:r>
      <w:r w:rsidRPr="009B75BF">
        <w:t xml:space="preserve"> erfo</w:t>
      </w:r>
      <w:r w:rsidRPr="009B75BF">
        <w:t>r</w:t>
      </w:r>
      <w:r w:rsidR="000E211B" w:rsidRPr="009B75BF">
        <w:t>derlichen Maßnahmen an</w:t>
      </w:r>
      <w:r w:rsidR="00F87A30" w:rsidRPr="009B75BF">
        <w:t>zuordnen,</w:t>
      </w:r>
      <w:r w:rsidRPr="009B75BF">
        <w:t xml:space="preserve"> um die betroffenen Tiere im Einklang mit den B</w:t>
      </w:r>
      <w:r w:rsidRPr="009B75BF">
        <w:t>e</w:t>
      </w:r>
      <w:r w:rsidRPr="009B75BF">
        <w:t>stimmungen des Arten- und des Tierschutzrechts anderweitig unterz</w:t>
      </w:r>
      <w:r w:rsidRPr="009B75BF">
        <w:t>u</w:t>
      </w:r>
      <w:r w:rsidRPr="009B75BF">
        <w:t>bringen.</w:t>
      </w:r>
    </w:p>
    <w:p w:rsidR="00871DA5" w:rsidRPr="009B75BF" w:rsidRDefault="00871DA5" w:rsidP="003E1065">
      <w:pPr>
        <w:jc w:val="both"/>
      </w:pPr>
    </w:p>
    <w:p w:rsidR="005329A4" w:rsidRPr="009B75BF" w:rsidRDefault="001360A8" w:rsidP="003E1065">
      <w:pPr>
        <w:jc w:val="both"/>
        <w:rPr>
          <w:rFonts w:cs="Arial"/>
        </w:rPr>
      </w:pPr>
      <w:r w:rsidRPr="009B75BF">
        <w:rPr>
          <w:rFonts w:cs="Arial"/>
        </w:rPr>
        <w:t xml:space="preserve">Werden in einem Tiergehege besonders geschützte Arten entgegen den Genehmigungsvoraussetzungen des § 33 ThürNatG gehalten, stellt dies </w:t>
      </w:r>
      <w:r w:rsidR="003E1065" w:rsidRPr="009B75BF">
        <w:rPr>
          <w:rFonts w:cs="Arial"/>
        </w:rPr>
        <w:t xml:space="preserve">grundsätzlich </w:t>
      </w:r>
      <w:r w:rsidRPr="009B75BF">
        <w:rPr>
          <w:rFonts w:cs="Arial"/>
        </w:rPr>
        <w:t>eine O</w:t>
      </w:r>
      <w:r w:rsidR="0024117C" w:rsidRPr="009B75BF">
        <w:rPr>
          <w:rFonts w:cs="Arial"/>
        </w:rPr>
        <w:t xml:space="preserve">rdnungswidrigkeit dar, die </w:t>
      </w:r>
      <w:r w:rsidR="00291DB8" w:rsidRPr="009B75BF">
        <w:rPr>
          <w:rFonts w:cs="Arial"/>
        </w:rPr>
        <w:t xml:space="preserve">von der Naturschutzbehörde </w:t>
      </w:r>
      <w:r w:rsidR="0024117C" w:rsidRPr="009B75BF">
        <w:rPr>
          <w:rFonts w:cs="Arial"/>
        </w:rPr>
        <w:t>mit Bußgeld geahndet werden kann.</w:t>
      </w:r>
    </w:p>
    <w:p w:rsidR="00FE2440" w:rsidRPr="009B75BF" w:rsidRDefault="005329A4" w:rsidP="005329A4">
      <w:pPr>
        <w:pStyle w:val="Kopfzeile"/>
        <w:tabs>
          <w:tab w:val="clear" w:pos="4536"/>
          <w:tab w:val="clear" w:pos="9072"/>
        </w:tabs>
        <w:rPr>
          <w:rFonts w:ascii="Arial" w:hAnsi="Arial" w:cs="Arial"/>
        </w:rPr>
      </w:pPr>
      <w:r w:rsidRPr="009B75BF">
        <w:rPr>
          <w:rFonts w:ascii="Arial" w:hAnsi="Arial" w:cs="Arial"/>
        </w:rPr>
        <w:tab/>
      </w:r>
    </w:p>
    <w:p w:rsidR="007F0DF3" w:rsidRPr="009B75BF" w:rsidRDefault="007F0DF3" w:rsidP="005329A4">
      <w:pPr>
        <w:pStyle w:val="Kopfzeile"/>
        <w:tabs>
          <w:tab w:val="clear" w:pos="4536"/>
          <w:tab w:val="clear" w:pos="9072"/>
        </w:tabs>
        <w:rPr>
          <w:rFonts w:ascii="Arial" w:hAnsi="Arial" w:cs="Arial"/>
          <w:sz w:val="22"/>
          <w:szCs w:val="22"/>
        </w:rPr>
      </w:pPr>
    </w:p>
    <w:p w:rsidR="007F0DF3" w:rsidRPr="009B75BF" w:rsidRDefault="007F0DF3" w:rsidP="005329A4">
      <w:pPr>
        <w:pStyle w:val="Kopfzeile"/>
        <w:tabs>
          <w:tab w:val="clear" w:pos="4536"/>
          <w:tab w:val="clear" w:pos="9072"/>
        </w:tabs>
        <w:rPr>
          <w:rFonts w:ascii="Arial" w:hAnsi="Arial" w:cs="Arial"/>
          <w:sz w:val="22"/>
          <w:szCs w:val="22"/>
        </w:rPr>
      </w:pPr>
      <w:r w:rsidRPr="009B75BF">
        <w:rPr>
          <w:rFonts w:ascii="Arial" w:hAnsi="Arial" w:cs="Arial"/>
          <w:sz w:val="22"/>
          <w:szCs w:val="22"/>
        </w:rPr>
        <w:t xml:space="preserve">Anlagen: </w:t>
      </w:r>
      <w:r w:rsidR="0007737F" w:rsidRPr="009B75BF">
        <w:rPr>
          <w:rFonts w:ascii="Arial" w:hAnsi="Arial" w:cs="Arial"/>
          <w:sz w:val="22"/>
          <w:szCs w:val="22"/>
        </w:rPr>
        <w:t>Anlage 1 Antragsunterlagen, Anlage 2</w:t>
      </w:r>
      <w:r w:rsidRPr="009B75BF">
        <w:rPr>
          <w:rFonts w:ascii="Arial" w:hAnsi="Arial" w:cs="Arial"/>
          <w:sz w:val="22"/>
          <w:szCs w:val="22"/>
        </w:rPr>
        <w:t xml:space="preserve"> Erläuterungen zur Beantragung</w:t>
      </w:r>
    </w:p>
    <w:p w:rsidR="0007737F" w:rsidRPr="009B75BF" w:rsidRDefault="0007737F" w:rsidP="005329A4">
      <w:pPr>
        <w:pStyle w:val="Kopfzeile"/>
        <w:tabs>
          <w:tab w:val="clear" w:pos="4536"/>
          <w:tab w:val="clear" w:pos="9072"/>
        </w:tabs>
        <w:rPr>
          <w:rFonts w:ascii="Arial" w:hAnsi="Arial" w:cs="Arial"/>
          <w:sz w:val="22"/>
          <w:szCs w:val="22"/>
        </w:rPr>
      </w:pPr>
    </w:p>
    <w:p w:rsidR="0007737F" w:rsidRPr="00590B15" w:rsidRDefault="0007737F" w:rsidP="005329A4">
      <w:pPr>
        <w:pStyle w:val="Kopfzeile"/>
        <w:tabs>
          <w:tab w:val="clear" w:pos="4536"/>
          <w:tab w:val="clear" w:pos="9072"/>
        </w:tabs>
        <w:rPr>
          <w:rFonts w:ascii="Arial" w:hAnsi="Arial" w:cs="Arial"/>
          <w:sz w:val="22"/>
          <w:szCs w:val="22"/>
        </w:rPr>
      </w:pPr>
      <w:r>
        <w:rPr>
          <w:rFonts w:ascii="Arial" w:hAnsi="Arial" w:cs="Arial"/>
          <w:sz w:val="22"/>
          <w:szCs w:val="22"/>
        </w:rPr>
        <w:t xml:space="preserve">Bearbeitungsstand: </w:t>
      </w:r>
      <w:r w:rsidR="009874AF">
        <w:rPr>
          <w:rFonts w:ascii="Arial" w:hAnsi="Arial" w:cs="Arial"/>
          <w:sz w:val="22"/>
          <w:szCs w:val="22"/>
        </w:rPr>
        <w:t>August</w:t>
      </w:r>
      <w:r>
        <w:rPr>
          <w:rFonts w:ascii="Arial" w:hAnsi="Arial" w:cs="Arial"/>
          <w:sz w:val="22"/>
          <w:szCs w:val="22"/>
        </w:rPr>
        <w:t xml:space="preserve"> 2010</w:t>
      </w:r>
    </w:p>
    <w:sectPr w:rsidR="0007737F" w:rsidRPr="00590B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42" w:rsidRDefault="000A1E42">
      <w:r>
        <w:separator/>
      </w:r>
    </w:p>
  </w:endnote>
  <w:endnote w:type="continuationSeparator" w:id="0">
    <w:p w:rsidR="000A1E42" w:rsidRDefault="000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42" w:rsidRDefault="000A1E42">
      <w:r>
        <w:separator/>
      </w:r>
    </w:p>
  </w:footnote>
  <w:footnote w:type="continuationSeparator" w:id="0">
    <w:p w:rsidR="000A1E42" w:rsidRDefault="000A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676"/>
    <w:multiLevelType w:val="hybridMultilevel"/>
    <w:tmpl w:val="D18CA4EC"/>
    <w:lvl w:ilvl="0" w:tplc="972847C0">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A4A43"/>
    <w:multiLevelType w:val="multilevel"/>
    <w:tmpl w:val="54FE1810"/>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2520"/>
        </w:tabs>
        <w:ind w:left="2520" w:hanging="360"/>
      </w:pPr>
      <w:rPr>
        <w:rFonts w:ascii="Symbol" w:hAnsi="Symbol"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2A7DEE"/>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4230A5"/>
    <w:multiLevelType w:val="multilevel"/>
    <w:tmpl w:val="0407001D"/>
    <w:numStyleLink w:val="Formatvorlage1"/>
  </w:abstractNum>
  <w:abstractNum w:abstractNumId="4" w15:restartNumberingAfterBreak="0">
    <w:nsid w:val="16D4768C"/>
    <w:multiLevelType w:val="multilevel"/>
    <w:tmpl w:val="D18CA4E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1180"/>
    <w:multiLevelType w:val="hybridMultilevel"/>
    <w:tmpl w:val="2188EA36"/>
    <w:lvl w:ilvl="0" w:tplc="972847C0">
      <w:start w:val="1"/>
      <w:numFmt w:val="bullet"/>
      <w:lvlText w:val=""/>
      <w:lvlJc w:val="left"/>
      <w:pPr>
        <w:tabs>
          <w:tab w:val="num" w:pos="1440"/>
        </w:tabs>
        <w:ind w:left="144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47090"/>
    <w:multiLevelType w:val="hybridMultilevel"/>
    <w:tmpl w:val="322E5ACE"/>
    <w:lvl w:ilvl="0" w:tplc="972847C0">
      <w:start w:val="1"/>
      <w:numFmt w:val="bullet"/>
      <w:lvlText w:val=""/>
      <w:lvlJc w:val="left"/>
      <w:pPr>
        <w:tabs>
          <w:tab w:val="num" w:pos="1440"/>
        </w:tabs>
        <w:ind w:left="144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0FDB"/>
    <w:multiLevelType w:val="hybridMultilevel"/>
    <w:tmpl w:val="2C88C89E"/>
    <w:lvl w:ilvl="0" w:tplc="989294B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F4429D"/>
    <w:multiLevelType w:val="multilevel"/>
    <w:tmpl w:val="2944972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61677A6"/>
    <w:multiLevelType w:val="multilevel"/>
    <w:tmpl w:val="2188EA3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7771E"/>
    <w:multiLevelType w:val="multilevel"/>
    <w:tmpl w:val="322E5AC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147B2"/>
    <w:multiLevelType w:val="hybridMultilevel"/>
    <w:tmpl w:val="54FE1810"/>
    <w:lvl w:ilvl="0" w:tplc="972847C0">
      <w:start w:val="1"/>
      <w:numFmt w:val="bullet"/>
      <w:lvlText w:val=""/>
      <w:lvlJc w:val="left"/>
      <w:pPr>
        <w:tabs>
          <w:tab w:val="num" w:pos="2520"/>
        </w:tabs>
        <w:ind w:left="2520" w:hanging="360"/>
      </w:pPr>
      <w:rPr>
        <w:rFonts w:ascii="Wingdings" w:hAnsi="Wingdings" w:hint="default"/>
      </w:rPr>
    </w:lvl>
    <w:lvl w:ilvl="1" w:tplc="AFEA41F6">
      <w:start w:val="1"/>
      <w:numFmt w:val="bullet"/>
      <w:lvlText w:val=""/>
      <w:lvlJc w:val="left"/>
      <w:pPr>
        <w:tabs>
          <w:tab w:val="num" w:pos="2340"/>
        </w:tabs>
        <w:ind w:left="2340" w:hanging="360"/>
      </w:pPr>
      <w:rPr>
        <w:rFonts w:ascii="Symbol" w:hAnsi="Symbol" w:hint="default"/>
        <w:color w:val="auto"/>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83621E1"/>
    <w:multiLevelType w:val="hybridMultilevel"/>
    <w:tmpl w:val="CD8C032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17170"/>
    <w:multiLevelType w:val="hybridMultilevel"/>
    <w:tmpl w:val="9942EB24"/>
    <w:lvl w:ilvl="0" w:tplc="5F5CAE70">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77915516"/>
    <w:multiLevelType w:val="hybridMultilevel"/>
    <w:tmpl w:val="E4620C6E"/>
    <w:lvl w:ilvl="0" w:tplc="39CA4C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8B16114"/>
    <w:multiLevelType w:val="hybridMultilevel"/>
    <w:tmpl w:val="29449724"/>
    <w:lvl w:ilvl="0" w:tplc="972847C0">
      <w:start w:val="1"/>
      <w:numFmt w:val="bullet"/>
      <w:lvlText w:val=""/>
      <w:lvlJc w:val="left"/>
      <w:pPr>
        <w:tabs>
          <w:tab w:val="num" w:pos="2520"/>
        </w:tabs>
        <w:ind w:left="2520" w:hanging="360"/>
      </w:pPr>
      <w:rPr>
        <w:rFonts w:ascii="Wingdings" w:hAnsi="Wingdings"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D020472"/>
    <w:multiLevelType w:val="hybridMultilevel"/>
    <w:tmpl w:val="09BA8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32E3F"/>
    <w:multiLevelType w:val="hybridMultilevel"/>
    <w:tmpl w:val="E0A4AB88"/>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1">
      <w:start w:val="1"/>
      <w:numFmt w:val="bullet"/>
      <w:lvlText w:val=""/>
      <w:lvlJc w:val="left"/>
      <w:pPr>
        <w:tabs>
          <w:tab w:val="num" w:pos="2520"/>
        </w:tabs>
        <w:ind w:left="2520" w:hanging="360"/>
      </w:pPr>
      <w:rPr>
        <w:rFonts w:ascii="Symbol" w:hAnsi="Symbol"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5"/>
  </w:num>
  <w:num w:numId="6">
    <w:abstractNumId w:val="9"/>
  </w:num>
  <w:num w:numId="7">
    <w:abstractNumId w:val="15"/>
  </w:num>
  <w:num w:numId="8">
    <w:abstractNumId w:val="8"/>
  </w:num>
  <w:num w:numId="9">
    <w:abstractNumId w:val="11"/>
  </w:num>
  <w:num w:numId="10">
    <w:abstractNumId w:val="1"/>
  </w:num>
  <w:num w:numId="11">
    <w:abstractNumId w:val="14"/>
  </w:num>
  <w:num w:numId="12">
    <w:abstractNumId w:val="7"/>
  </w:num>
  <w:num w:numId="13">
    <w:abstractNumId w:val="17"/>
  </w:num>
  <w:num w:numId="14">
    <w:abstractNumId w:val="16"/>
  </w:num>
  <w:num w:numId="15">
    <w:abstractNumId w:val="12"/>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78"/>
    <w:rsid w:val="00010E0D"/>
    <w:rsid w:val="00044F69"/>
    <w:rsid w:val="000728A6"/>
    <w:rsid w:val="000736FA"/>
    <w:rsid w:val="00073B1A"/>
    <w:rsid w:val="0007737F"/>
    <w:rsid w:val="00094F45"/>
    <w:rsid w:val="000A1E42"/>
    <w:rsid w:val="000E211B"/>
    <w:rsid w:val="000E2D30"/>
    <w:rsid w:val="000F545D"/>
    <w:rsid w:val="001360A8"/>
    <w:rsid w:val="00152A08"/>
    <w:rsid w:val="00155991"/>
    <w:rsid w:val="00161B05"/>
    <w:rsid w:val="001A14A3"/>
    <w:rsid w:val="00203C08"/>
    <w:rsid w:val="00237C0F"/>
    <w:rsid w:val="0024117C"/>
    <w:rsid w:val="00265907"/>
    <w:rsid w:val="0027071A"/>
    <w:rsid w:val="00281B89"/>
    <w:rsid w:val="00290343"/>
    <w:rsid w:val="00291DB8"/>
    <w:rsid w:val="002B2884"/>
    <w:rsid w:val="002C2EDA"/>
    <w:rsid w:val="002C6515"/>
    <w:rsid w:val="00310E08"/>
    <w:rsid w:val="0031661F"/>
    <w:rsid w:val="00320B42"/>
    <w:rsid w:val="003426DC"/>
    <w:rsid w:val="0034538C"/>
    <w:rsid w:val="003543BB"/>
    <w:rsid w:val="00376F74"/>
    <w:rsid w:val="00383C9C"/>
    <w:rsid w:val="003B717D"/>
    <w:rsid w:val="003E1065"/>
    <w:rsid w:val="00412F1E"/>
    <w:rsid w:val="0042732F"/>
    <w:rsid w:val="00443664"/>
    <w:rsid w:val="004665A9"/>
    <w:rsid w:val="00473103"/>
    <w:rsid w:val="0049597C"/>
    <w:rsid w:val="004A3760"/>
    <w:rsid w:val="004B64DD"/>
    <w:rsid w:val="004C57E0"/>
    <w:rsid w:val="004E74D1"/>
    <w:rsid w:val="004E7B1C"/>
    <w:rsid w:val="004F06F7"/>
    <w:rsid w:val="004F1DBE"/>
    <w:rsid w:val="004F254D"/>
    <w:rsid w:val="00524D96"/>
    <w:rsid w:val="005329A4"/>
    <w:rsid w:val="0057299A"/>
    <w:rsid w:val="00577020"/>
    <w:rsid w:val="00590B15"/>
    <w:rsid w:val="006058CD"/>
    <w:rsid w:val="00614CC1"/>
    <w:rsid w:val="00635C40"/>
    <w:rsid w:val="006A6F12"/>
    <w:rsid w:val="006F1689"/>
    <w:rsid w:val="00794568"/>
    <w:rsid w:val="007B1266"/>
    <w:rsid w:val="007F0DF3"/>
    <w:rsid w:val="0081386C"/>
    <w:rsid w:val="00846817"/>
    <w:rsid w:val="00871DA5"/>
    <w:rsid w:val="00872E38"/>
    <w:rsid w:val="00883AAC"/>
    <w:rsid w:val="0088601C"/>
    <w:rsid w:val="008939F1"/>
    <w:rsid w:val="008B7FCB"/>
    <w:rsid w:val="008C798C"/>
    <w:rsid w:val="008D3570"/>
    <w:rsid w:val="008F4B2E"/>
    <w:rsid w:val="00923C1E"/>
    <w:rsid w:val="00942FA0"/>
    <w:rsid w:val="009650DF"/>
    <w:rsid w:val="00981C58"/>
    <w:rsid w:val="009874AF"/>
    <w:rsid w:val="009A3D54"/>
    <w:rsid w:val="009B75BF"/>
    <w:rsid w:val="009C3460"/>
    <w:rsid w:val="009D3403"/>
    <w:rsid w:val="009F01EA"/>
    <w:rsid w:val="009F7B29"/>
    <w:rsid w:val="00A36791"/>
    <w:rsid w:val="00A44F10"/>
    <w:rsid w:val="00A55062"/>
    <w:rsid w:val="00A83F3C"/>
    <w:rsid w:val="00A91D42"/>
    <w:rsid w:val="00A93FE9"/>
    <w:rsid w:val="00AE53F5"/>
    <w:rsid w:val="00B01F9C"/>
    <w:rsid w:val="00B03773"/>
    <w:rsid w:val="00B61568"/>
    <w:rsid w:val="00B824C9"/>
    <w:rsid w:val="00B90278"/>
    <w:rsid w:val="00BB552A"/>
    <w:rsid w:val="00BC7507"/>
    <w:rsid w:val="00C2610D"/>
    <w:rsid w:val="00C301FB"/>
    <w:rsid w:val="00C71B15"/>
    <w:rsid w:val="00C8245E"/>
    <w:rsid w:val="00CE0DE3"/>
    <w:rsid w:val="00D12038"/>
    <w:rsid w:val="00D13BFE"/>
    <w:rsid w:val="00D43696"/>
    <w:rsid w:val="00D61EB8"/>
    <w:rsid w:val="00D9267F"/>
    <w:rsid w:val="00D965BB"/>
    <w:rsid w:val="00DC1ACB"/>
    <w:rsid w:val="00DF0EFC"/>
    <w:rsid w:val="00DF3805"/>
    <w:rsid w:val="00E16FCA"/>
    <w:rsid w:val="00E25179"/>
    <w:rsid w:val="00E5474D"/>
    <w:rsid w:val="00E622D1"/>
    <w:rsid w:val="00E843E4"/>
    <w:rsid w:val="00E871B7"/>
    <w:rsid w:val="00EA1C48"/>
    <w:rsid w:val="00EA67F6"/>
    <w:rsid w:val="00EC64C2"/>
    <w:rsid w:val="00ED269D"/>
    <w:rsid w:val="00ED787C"/>
    <w:rsid w:val="00EE23E2"/>
    <w:rsid w:val="00F0750D"/>
    <w:rsid w:val="00F47934"/>
    <w:rsid w:val="00F63195"/>
    <w:rsid w:val="00F72382"/>
    <w:rsid w:val="00F87A30"/>
    <w:rsid w:val="00FE2440"/>
    <w:rsid w:val="00FF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FFE133-02D5-44C2-9CE1-CB4A49F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278"/>
    <w:rPr>
      <w:rFonts w:ascii="Arial" w:hAnsi="Arial"/>
      <w:sz w:val="24"/>
      <w:szCs w:val="24"/>
    </w:rPr>
  </w:style>
  <w:style w:type="paragraph" w:styleId="berschrift1">
    <w:name w:val="heading 1"/>
    <w:basedOn w:val="Standard"/>
    <w:next w:val="Standard"/>
    <w:qFormat/>
    <w:rsid w:val="005329A4"/>
    <w:pPr>
      <w:keepNext/>
      <w:outlineLvl w:val="0"/>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AE53F5"/>
    <w:pPr>
      <w:jc w:val="both"/>
    </w:pPr>
    <w:rPr>
      <w:bCs/>
    </w:rPr>
  </w:style>
  <w:style w:type="paragraph" w:styleId="Kopfzeile">
    <w:name w:val="header"/>
    <w:basedOn w:val="Standard"/>
    <w:rsid w:val="005329A4"/>
    <w:pPr>
      <w:tabs>
        <w:tab w:val="center" w:pos="4536"/>
        <w:tab w:val="right" w:pos="9072"/>
      </w:tabs>
    </w:pPr>
    <w:rPr>
      <w:rFonts w:ascii="Times New Roman" w:hAnsi="Times New Roman"/>
    </w:rPr>
  </w:style>
  <w:style w:type="paragraph" w:styleId="Fuzeile">
    <w:name w:val="footer"/>
    <w:basedOn w:val="Standard"/>
    <w:rsid w:val="005329A4"/>
    <w:pPr>
      <w:tabs>
        <w:tab w:val="center" w:pos="4536"/>
        <w:tab w:val="right" w:pos="9072"/>
      </w:tabs>
    </w:pPr>
    <w:rPr>
      <w:rFonts w:ascii="Times New Roman" w:hAnsi="Times New Roman"/>
    </w:rPr>
  </w:style>
  <w:style w:type="character" w:styleId="Funotenzeichen">
    <w:name w:val="footnote reference"/>
    <w:basedOn w:val="Absatz-Standardschriftart"/>
    <w:semiHidden/>
    <w:rsid w:val="005329A4"/>
    <w:rPr>
      <w:vertAlign w:val="superscript"/>
    </w:rPr>
  </w:style>
  <w:style w:type="paragraph" w:styleId="Funotentext">
    <w:name w:val="footnote text"/>
    <w:basedOn w:val="Standard"/>
    <w:semiHidden/>
    <w:rsid w:val="005329A4"/>
    <w:rPr>
      <w:rFonts w:ascii="Times New Roman" w:hAnsi="Times New Roman"/>
      <w:sz w:val="20"/>
      <w:szCs w:val="20"/>
    </w:rPr>
  </w:style>
  <w:style w:type="paragraph" w:styleId="StandardWeb">
    <w:name w:val="Normal (Web)"/>
    <w:basedOn w:val="Standard"/>
    <w:rsid w:val="005329A4"/>
    <w:pPr>
      <w:spacing w:before="100" w:beforeAutospacing="1" w:after="100" w:afterAutospacing="1"/>
    </w:pPr>
    <w:rPr>
      <w:rFonts w:ascii="Times New Roman" w:hAnsi="Times New Roman"/>
    </w:rPr>
  </w:style>
  <w:style w:type="numbering" w:customStyle="1" w:styleId="Formatvorlage1">
    <w:name w:val="Formatvorlage1"/>
    <w:basedOn w:val="KeineListe"/>
    <w:rsid w:val="003E106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Hinweise zum Artenschutz</vt:lpstr>
    </vt:vector>
  </TitlesOfParts>
  <Company>Stadtverwaltung Erfurt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Artenschutz</dc:title>
  <dc:subject/>
  <dc:creator>Stadtverwaltung Erfurt</dc:creator>
  <cp:keywords/>
  <dc:description/>
  <cp:lastModifiedBy>Brömel, Anja</cp:lastModifiedBy>
  <cp:revision>2</cp:revision>
  <cp:lastPrinted>2010-08-02T09:40:00Z</cp:lastPrinted>
  <dcterms:created xsi:type="dcterms:W3CDTF">2024-01-18T11:35:00Z</dcterms:created>
  <dcterms:modified xsi:type="dcterms:W3CDTF">2024-01-18T11:35:00Z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885955306</vt:i4>
  </property>
  <property fmtid="{D5CDD505-2E9C-101B-9397-08002B2CF9AE}" pid="3" name="_EmailSubject">
    <vt:lpwstr>Entwurf Tiergehegemerkblatt; Entwurf eines Antrags auf Errichtung und Betrieb oder wesentliche Änderung und Betrieb eines Tiergeheges; Bitte um Zuarbeit</vt:lpwstr>
  </property>
  <property fmtid="{D5CDD505-2E9C-101B-9397-08002B2CF9AE}" pid="4" name="_AuthorEmail">
    <vt:lpwstr>Jens.Hermann@tlvwa.thueringen.de</vt:lpwstr>
  </property>
  <property fmtid="{D5CDD505-2E9C-101B-9397-08002B2CF9AE}" pid="5" name="_AuthorEmailDisplayName">
    <vt:lpwstr>TLVwA Hermann, Jens</vt:lpwstr>
  </property>
  <property fmtid="{D5CDD505-2E9C-101B-9397-08002B2CF9AE}" pid="6" name="_ReviewingToolsShownOnce">
    <vt:lpwstr/>
  </property>
</Properties>
</file>